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932D618" w:rsidR="00E90E49" w:rsidRPr="00CE0424" w:rsidRDefault="00E90E49" w:rsidP="00E35559">
      <w:pPr>
        <w:pStyle w:val="3GPPHeader"/>
        <w:spacing w:after="60"/>
        <w:rPr>
          <w:sz w:val="32"/>
          <w:szCs w:val="32"/>
          <w:highlight w:val="yellow"/>
        </w:rPr>
      </w:pPr>
      <w:r w:rsidRPr="00CE0424">
        <w:t>3GPP TSG-RAN WG</w:t>
      </w:r>
      <w:r w:rsidR="000E24EA">
        <w:t>4</w:t>
      </w:r>
      <w:r w:rsidRPr="00CE0424">
        <w:t xml:space="preserve"> </w:t>
      </w:r>
      <w:r w:rsidR="008F1C4E">
        <w:t xml:space="preserve">Meeting </w:t>
      </w:r>
      <w:r w:rsidRPr="00CE0424">
        <w:t>#</w:t>
      </w:r>
      <w:r w:rsidR="000E24EA">
        <w:t>106</w:t>
      </w:r>
      <w:r w:rsidRPr="00CE0424">
        <w:tab/>
      </w:r>
      <w:r w:rsidR="00091557" w:rsidRPr="00CE0424">
        <w:rPr>
          <w:sz w:val="32"/>
          <w:szCs w:val="32"/>
        </w:rPr>
        <w:t>R</w:t>
      </w:r>
      <w:r w:rsidR="00AF2169">
        <w:rPr>
          <w:sz w:val="32"/>
          <w:szCs w:val="32"/>
        </w:rPr>
        <w:t>4</w:t>
      </w:r>
      <w:r w:rsidR="00091557" w:rsidRPr="00CE0424">
        <w:rPr>
          <w:sz w:val="32"/>
          <w:szCs w:val="32"/>
        </w:rPr>
        <w:t>-</w:t>
      </w:r>
      <w:r w:rsidR="00AF2169">
        <w:rPr>
          <w:sz w:val="32"/>
          <w:szCs w:val="32"/>
        </w:rPr>
        <w:t>23</w:t>
      </w:r>
      <w:r w:rsidR="005C3A5A">
        <w:rPr>
          <w:sz w:val="32"/>
          <w:szCs w:val="32"/>
        </w:rPr>
        <w:t>01879</w:t>
      </w:r>
    </w:p>
    <w:p w14:paraId="0CE7B7E6" w14:textId="400B29EA" w:rsidR="00E90E49" w:rsidRPr="00CE0424" w:rsidRDefault="00F12276" w:rsidP="00311702">
      <w:pPr>
        <w:pStyle w:val="3GPPHeader"/>
      </w:pPr>
      <w:r w:rsidRPr="00F12276">
        <w:t>Athens</w:t>
      </w:r>
      <w:r w:rsidR="0027144F" w:rsidRPr="00F12276">
        <w:t xml:space="preserve">, </w:t>
      </w:r>
      <w:r w:rsidRPr="00F12276">
        <w:t>Greece</w:t>
      </w:r>
      <w:r w:rsidR="0027144F" w:rsidRPr="00F12276">
        <w:t xml:space="preserve">, </w:t>
      </w:r>
      <w:r w:rsidRPr="00F12276">
        <w:t>27</w:t>
      </w:r>
      <w:r w:rsidR="001D53E7" w:rsidRPr="00F12276">
        <w:rPr>
          <w:vertAlign w:val="superscript"/>
        </w:rPr>
        <w:t>th</w:t>
      </w:r>
      <w:r w:rsidRPr="00F12276">
        <w:t xml:space="preserve"> February</w:t>
      </w:r>
      <w:r w:rsidR="001D53E7" w:rsidRPr="00F12276">
        <w:t xml:space="preserve"> – </w:t>
      </w:r>
      <w:r w:rsidRPr="00F12276">
        <w:t>3</w:t>
      </w:r>
      <w:r w:rsidRPr="00F12276">
        <w:rPr>
          <w:vertAlign w:val="superscript"/>
        </w:rPr>
        <w:t>rd</w:t>
      </w:r>
      <w:r w:rsidRPr="00F12276">
        <w:t xml:space="preserve"> March</w:t>
      </w:r>
      <w:r w:rsidR="00C37CB2" w:rsidRPr="00F12276">
        <w:t xml:space="preserve"> </w:t>
      </w:r>
      <w:r w:rsidR="0027144F" w:rsidRPr="00F12276">
        <w:t>20</w:t>
      </w:r>
      <w:r w:rsidRPr="00F12276">
        <w:t>23</w:t>
      </w:r>
    </w:p>
    <w:p w14:paraId="3086AC07" w14:textId="77777777" w:rsidR="00E90E49" w:rsidRPr="00CE0424" w:rsidRDefault="00E90E49" w:rsidP="00357380">
      <w:pPr>
        <w:pStyle w:val="3GPPHeader"/>
      </w:pPr>
    </w:p>
    <w:p w14:paraId="3982483C" w14:textId="1060ED93"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5C3A5A">
        <w:rPr>
          <w:sz w:val="22"/>
          <w:lang w:val="sv-FI"/>
        </w:rPr>
        <w:t>9.13.2.3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ECE2824" w:rsidR="00E90E49" w:rsidRPr="00CE0424" w:rsidRDefault="003D3C45" w:rsidP="00311702">
      <w:pPr>
        <w:pStyle w:val="3GPPHeader"/>
        <w:rPr>
          <w:sz w:val="22"/>
        </w:rPr>
      </w:pPr>
      <w:r>
        <w:rPr>
          <w:sz w:val="22"/>
        </w:rPr>
        <w:t>Title:</w:t>
      </w:r>
      <w:r w:rsidR="00E90E49" w:rsidRPr="00CE0424">
        <w:rPr>
          <w:sz w:val="22"/>
        </w:rPr>
        <w:tab/>
      </w:r>
      <w:r w:rsidR="00F12276">
        <w:rPr>
          <w:sz w:val="22"/>
        </w:rPr>
        <w:t xml:space="preserve">ATG UE </w:t>
      </w:r>
      <w:r w:rsidR="004A2C60">
        <w:rPr>
          <w:sz w:val="22"/>
        </w:rPr>
        <w:t xml:space="preserve">RX </w:t>
      </w:r>
      <w:r w:rsidR="00F12276">
        <w:rPr>
          <w:sz w:val="22"/>
        </w:rPr>
        <w:t>requirements</w:t>
      </w:r>
    </w:p>
    <w:p w14:paraId="025260C1" w14:textId="4FE7D45F" w:rsidR="00E90E49" w:rsidRPr="00CE0424" w:rsidRDefault="00E90E49" w:rsidP="00D546FF">
      <w:pPr>
        <w:pStyle w:val="3GPPHeader"/>
        <w:rPr>
          <w:sz w:val="22"/>
        </w:rPr>
      </w:pPr>
      <w:r w:rsidRPr="00CE0424">
        <w:rPr>
          <w:sz w:val="22"/>
        </w:rPr>
        <w:t>Document for:</w:t>
      </w:r>
      <w:r w:rsidRPr="00CE0424">
        <w:rPr>
          <w:sz w:val="22"/>
        </w:rPr>
        <w:tab/>
      </w:r>
      <w:r w:rsidR="00F12276">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40B9DE6" w14:textId="77777777" w:rsidR="00124030" w:rsidRDefault="00124030" w:rsidP="00124030">
      <w:pPr>
        <w:pStyle w:val="BodyText"/>
      </w:pPr>
      <w:bookmarkStart w:id="0" w:name="_Ref178064866"/>
      <w:r>
        <w:t>During RAN4#105, a WF was agreed on UE requirements for ATG. Many issues are not yet resolved.</w:t>
      </w:r>
    </w:p>
    <w:p w14:paraId="4CB53D8C" w14:textId="77777777" w:rsidR="00124030" w:rsidRDefault="00124030" w:rsidP="00124030">
      <w:pPr>
        <w:pStyle w:val="BodyText"/>
      </w:pPr>
      <w:r>
        <w:t xml:space="preserve">A fundamental issue for an ATG UE is that the hardware will not be comparable and mostly not re-usable from terrestrial UEs. An ATG UE will be mounted on the body of an aircraft and will need to fulfil all relevant avionics requirements, which are highly stringent on a component level and in a quite different environmental condition to TN UE. In addition, the output power, </w:t>
      </w:r>
      <w:proofErr w:type="gramStart"/>
      <w:r>
        <w:t>emissions</w:t>
      </w:r>
      <w:proofErr w:type="gramEnd"/>
      <w:r>
        <w:t xml:space="preserve"> and selectivity of an ATG UE might be impacted by other nearby radio transmitters and receivers on the aircraft, some of which may be safety critical. The exact requirements on an ATG UE may depend on the aircraft type into which it is to be integrated.</w:t>
      </w:r>
    </w:p>
    <w:p w14:paraId="6006F827" w14:textId="73251D2E" w:rsidR="00124030" w:rsidRDefault="00124030" w:rsidP="00124030">
      <w:pPr>
        <w:pStyle w:val="BodyText"/>
      </w:pPr>
      <w:r>
        <w:t xml:space="preserve">From a RAN4 perspective, a possible approach is to establish the minimum possible requirements to enable the cellular NR based communication to operate without placing any unnecessary constraints on the ATG UE. These requirements might not be fully sufficient and may in the worst case not even be feasible to meet other avionics constraints. </w:t>
      </w:r>
      <w:r w:rsidR="005A48FB">
        <w:t xml:space="preserve">However, </w:t>
      </w:r>
      <w:proofErr w:type="gramStart"/>
      <w:r w:rsidR="005A48FB">
        <w:t>as long as</w:t>
      </w:r>
      <w:proofErr w:type="gramEnd"/>
      <w:r w:rsidR="005A48FB">
        <w:t xml:space="preserve"> care is taken that the requirements are indeed minimum and constrain as little as possible, then they will ensure that cellular communication can work. The RF requirements will provide an essential baseline to which the design of the avionics UE can add further (avionics related) requirements as needed.</w:t>
      </w:r>
    </w:p>
    <w:p w14:paraId="066AD746" w14:textId="77777777" w:rsidR="00124030" w:rsidRPr="00CE0424" w:rsidRDefault="00124030" w:rsidP="00124030">
      <w:pPr>
        <w:pStyle w:val="BodyText"/>
      </w:pPr>
      <w:r>
        <w:t>In this contribution, the UE requirements are further examined to consider the minimum feasible requirement.</w:t>
      </w:r>
    </w:p>
    <w:p w14:paraId="60123794" w14:textId="12976007" w:rsidR="004000E8" w:rsidRDefault="00230D18" w:rsidP="00CE0424">
      <w:pPr>
        <w:pStyle w:val="Heading1"/>
      </w:pPr>
      <w:r>
        <w:t>2</w:t>
      </w:r>
      <w:r>
        <w:tab/>
      </w:r>
      <w:bookmarkEnd w:id="0"/>
      <w:r w:rsidR="002B1953">
        <w:t>Requirements from 38.101-1</w:t>
      </w:r>
    </w:p>
    <w:p w14:paraId="571ED5EF" w14:textId="77777777" w:rsidR="0035083E" w:rsidRDefault="0035083E" w:rsidP="002B1953">
      <w:pPr>
        <w:rPr>
          <w:u w:val="single"/>
          <w:lang w:val="en-GB" w:eastAsia="ja-JP"/>
        </w:rPr>
      </w:pPr>
    </w:p>
    <w:p w14:paraId="000821F8" w14:textId="225984D8" w:rsidR="00BF70FC" w:rsidRDefault="00BF70FC" w:rsidP="002B1953">
      <w:pPr>
        <w:rPr>
          <w:u w:val="single"/>
          <w:lang w:val="en-GB" w:eastAsia="ja-JP"/>
        </w:rPr>
      </w:pPr>
      <w:r>
        <w:rPr>
          <w:u w:val="single"/>
          <w:lang w:val="en-GB" w:eastAsia="ja-JP"/>
        </w:rPr>
        <w:t>Reference sensitivity</w:t>
      </w:r>
    </w:p>
    <w:p w14:paraId="5F4A0D83" w14:textId="0DB06423" w:rsidR="00A05928" w:rsidRDefault="006023B9" w:rsidP="002B1953">
      <w:pPr>
        <w:rPr>
          <w:lang w:val="en-GB" w:eastAsia="ja-JP"/>
        </w:rPr>
      </w:pPr>
      <w:r>
        <w:rPr>
          <w:lang w:val="en-GB" w:eastAsia="ja-JP"/>
        </w:rPr>
        <w:t xml:space="preserve">It is not entirely obvious whether an avionics UE would meet the same, </w:t>
      </w:r>
      <w:proofErr w:type="gramStart"/>
      <w:r>
        <w:rPr>
          <w:lang w:val="en-GB" w:eastAsia="ja-JP"/>
        </w:rPr>
        <w:t>lower</w:t>
      </w:r>
      <w:proofErr w:type="gramEnd"/>
      <w:r>
        <w:rPr>
          <w:lang w:val="en-GB" w:eastAsia="ja-JP"/>
        </w:rPr>
        <w:t xml:space="preserve"> or higher sensitivity than a terrestrial terminal. The achievable sensitivity should be studied further. Considering that the co-existence simulations have assumed </w:t>
      </w:r>
      <w:r w:rsidR="00055E6D">
        <w:rPr>
          <w:lang w:val="en-GB" w:eastAsia="ja-JP"/>
        </w:rPr>
        <w:t>the same sensitivity as terrestrial terminals though, the existing sensitivity requirements for terrestrial terminal may be a prudent choice.</w:t>
      </w:r>
    </w:p>
    <w:p w14:paraId="42FE437E" w14:textId="0E6842C6" w:rsidR="005448C6" w:rsidRPr="00A05928" w:rsidRDefault="005448C6" w:rsidP="005448C6">
      <w:pPr>
        <w:pStyle w:val="Proposal"/>
        <w:rPr>
          <w:lang w:val="en-GB"/>
        </w:rPr>
      </w:pPr>
      <w:bookmarkStart w:id="1" w:name="_Toc127552141"/>
      <w:r>
        <w:rPr>
          <w:lang w:val="en-GB"/>
        </w:rPr>
        <w:t>TN reference sensitivity can be baseline. Further discussion should check that the sensitivity is achievable and relevant for avionics UEs.</w:t>
      </w:r>
      <w:bookmarkEnd w:id="1"/>
    </w:p>
    <w:p w14:paraId="78ACA8D6" w14:textId="77777777" w:rsidR="00A05928" w:rsidRDefault="00A05928" w:rsidP="002B1953">
      <w:pPr>
        <w:rPr>
          <w:u w:val="single"/>
          <w:lang w:val="en-GB" w:eastAsia="ja-JP"/>
        </w:rPr>
      </w:pPr>
    </w:p>
    <w:p w14:paraId="7D7A835D" w14:textId="2C0CD127" w:rsidR="00BF70FC" w:rsidRDefault="009463C4" w:rsidP="002B1953">
      <w:pPr>
        <w:rPr>
          <w:u w:val="single"/>
          <w:lang w:val="en-GB" w:eastAsia="ja-JP"/>
        </w:rPr>
      </w:pPr>
      <w:r>
        <w:rPr>
          <w:u w:val="single"/>
          <w:lang w:val="en-GB" w:eastAsia="ja-JP"/>
        </w:rPr>
        <w:t>Maximum input level</w:t>
      </w:r>
    </w:p>
    <w:p w14:paraId="02C09C04" w14:textId="3872CCAA" w:rsidR="00055E6D" w:rsidRDefault="00F520F4" w:rsidP="002B1953">
      <w:pPr>
        <w:rPr>
          <w:lang w:val="en-GB" w:eastAsia="ja-JP"/>
        </w:rPr>
      </w:pPr>
      <w:r>
        <w:rPr>
          <w:lang w:val="en-GB" w:eastAsia="ja-JP"/>
        </w:rPr>
        <w:t xml:space="preserve">A very conservative estimate </w:t>
      </w:r>
      <w:r w:rsidR="00D339F1">
        <w:rPr>
          <w:lang w:val="en-GB" w:eastAsia="ja-JP"/>
        </w:rPr>
        <w:t>for the maximum input level</w:t>
      </w:r>
      <w:r w:rsidR="006945FB">
        <w:rPr>
          <w:lang w:val="en-GB" w:eastAsia="ja-JP"/>
        </w:rPr>
        <w:t xml:space="preserve"> at 2GHz</w:t>
      </w:r>
      <w:r w:rsidR="00D339F1">
        <w:rPr>
          <w:lang w:val="en-GB" w:eastAsia="ja-JP"/>
        </w:rPr>
        <w:t xml:space="preserve"> could be based on assuming</w:t>
      </w:r>
      <w:r w:rsidR="003A110E">
        <w:rPr>
          <w:lang w:val="en-GB" w:eastAsia="ja-JP"/>
        </w:rPr>
        <w:t xml:space="preserve"> an aircraft flying 3km over a 2GHz BS that has a 12*8 antenna array and 43dBm output power</w:t>
      </w:r>
      <w:r w:rsidR="006C5B32">
        <w:rPr>
          <w:lang w:val="en-GB" w:eastAsia="ja-JP"/>
        </w:rPr>
        <w:t>, with the BS array pointing directly upwards. This estimate would be an absolute worst case as it is not very likely.</w:t>
      </w:r>
      <w:r w:rsidR="00AC039E">
        <w:rPr>
          <w:lang w:val="en-GB" w:eastAsia="ja-JP"/>
        </w:rPr>
        <w:t xml:space="preserve"> With a BS </w:t>
      </w:r>
      <w:r w:rsidR="00AC039E">
        <w:rPr>
          <w:lang w:val="en-GB" w:eastAsia="ja-JP"/>
        </w:rPr>
        <w:lastRenderedPageBreak/>
        <w:t xml:space="preserve">gain </w:t>
      </w:r>
      <w:r w:rsidR="00DC0266">
        <w:rPr>
          <w:lang w:val="en-GB" w:eastAsia="ja-JP"/>
        </w:rPr>
        <w:t xml:space="preserve">of around </w:t>
      </w:r>
      <w:r w:rsidR="00A425F6">
        <w:rPr>
          <w:lang w:val="en-GB" w:eastAsia="ja-JP"/>
        </w:rPr>
        <w:t>25dB, the input level at the UE would be around -40dBm.</w:t>
      </w:r>
      <w:r w:rsidR="00F333F0">
        <w:rPr>
          <w:lang w:val="en-GB" w:eastAsia="ja-JP"/>
        </w:rPr>
        <w:t xml:space="preserve"> With a more realistic assumption of the UE being 50km from the BS</w:t>
      </w:r>
      <w:r w:rsidR="000224DA">
        <w:rPr>
          <w:lang w:val="en-GB" w:eastAsia="ja-JP"/>
        </w:rPr>
        <w:t xml:space="preserve">, with the BS antenna pointing at the UE the input level becomes </w:t>
      </w:r>
      <w:r w:rsidR="00F27B09">
        <w:rPr>
          <w:lang w:val="en-GB" w:eastAsia="ja-JP"/>
        </w:rPr>
        <w:t>-64dBm.</w:t>
      </w:r>
    </w:p>
    <w:p w14:paraId="5FE50759" w14:textId="57AB17D3" w:rsidR="00CF1A79" w:rsidRDefault="00896630" w:rsidP="002B1953">
      <w:pPr>
        <w:rPr>
          <w:lang w:val="en-GB" w:eastAsia="ja-JP"/>
        </w:rPr>
      </w:pPr>
      <w:r>
        <w:rPr>
          <w:lang w:val="en-GB" w:eastAsia="ja-JP"/>
        </w:rPr>
        <w:t xml:space="preserve">For the 4GHz case, considering both the </w:t>
      </w:r>
      <w:r w:rsidR="00782BA2">
        <w:rPr>
          <w:lang w:val="en-GB" w:eastAsia="ja-JP"/>
        </w:rPr>
        <w:t>12*8 BS antenna array</w:t>
      </w:r>
      <w:r w:rsidR="00E90C66">
        <w:rPr>
          <w:lang w:val="en-GB" w:eastAsia="ja-JP"/>
        </w:rPr>
        <w:t>, and 53dBm BS output power, if the BS antenna points directly upwards at the UE and the UE directly downwards with 3km height then t</w:t>
      </w:r>
      <w:r w:rsidR="005F49EC">
        <w:rPr>
          <w:lang w:val="en-GB" w:eastAsia="ja-JP"/>
        </w:rPr>
        <w:t xml:space="preserve">he input level at the UE </w:t>
      </w:r>
      <w:r w:rsidR="00407CCA">
        <w:rPr>
          <w:lang w:val="en-GB" w:eastAsia="ja-JP"/>
        </w:rPr>
        <w:t xml:space="preserve">at the antenna connector </w:t>
      </w:r>
      <w:r w:rsidR="005F49EC">
        <w:rPr>
          <w:lang w:val="en-GB" w:eastAsia="ja-JP"/>
        </w:rPr>
        <w:t xml:space="preserve">would be </w:t>
      </w:r>
      <w:r w:rsidR="0055159B">
        <w:rPr>
          <w:lang w:val="en-GB" w:eastAsia="ja-JP"/>
        </w:rPr>
        <w:t>-</w:t>
      </w:r>
      <w:r w:rsidR="00A278CF">
        <w:rPr>
          <w:lang w:val="en-GB" w:eastAsia="ja-JP"/>
        </w:rPr>
        <w:t>3</w:t>
      </w:r>
      <w:r w:rsidR="00407CCA">
        <w:rPr>
          <w:lang w:val="en-GB" w:eastAsia="ja-JP"/>
        </w:rPr>
        <w:t>1</w:t>
      </w:r>
      <w:r w:rsidR="0055159B">
        <w:rPr>
          <w:lang w:val="en-GB" w:eastAsia="ja-JP"/>
        </w:rPr>
        <w:t xml:space="preserve">dBm. </w:t>
      </w:r>
      <w:r w:rsidR="003A4E4F">
        <w:rPr>
          <w:lang w:val="en-GB" w:eastAsia="ja-JP"/>
        </w:rPr>
        <w:t>However, it is extremely unlikely that the UE antenna would point directly downwards and the BS antenna directly upwards.</w:t>
      </w:r>
      <w:r w:rsidR="00CF1A79">
        <w:rPr>
          <w:lang w:val="en-GB" w:eastAsia="ja-JP"/>
        </w:rPr>
        <w:t xml:space="preserve"> If as an alternative assumption we assume that the ATG UE is at </w:t>
      </w:r>
      <w:proofErr w:type="gramStart"/>
      <w:r w:rsidR="00CF1A79">
        <w:rPr>
          <w:lang w:val="en-GB" w:eastAsia="ja-JP"/>
        </w:rPr>
        <w:t>a distance of 20km</w:t>
      </w:r>
      <w:proofErr w:type="gramEnd"/>
      <w:r w:rsidR="00CF1A79">
        <w:rPr>
          <w:lang w:val="en-GB" w:eastAsia="ja-JP"/>
        </w:rPr>
        <w:t xml:space="preserve"> from the </w:t>
      </w:r>
      <w:r w:rsidR="002A5052">
        <w:rPr>
          <w:lang w:val="en-GB" w:eastAsia="ja-JP"/>
        </w:rPr>
        <w:t>BS and is pointing at the BS antenna</w:t>
      </w:r>
      <w:r w:rsidR="00820256">
        <w:rPr>
          <w:lang w:val="en-GB" w:eastAsia="ja-JP"/>
        </w:rPr>
        <w:t xml:space="preserve">, then the input level </w:t>
      </w:r>
      <w:r w:rsidR="00407CCA">
        <w:rPr>
          <w:lang w:val="en-GB" w:eastAsia="ja-JP"/>
        </w:rPr>
        <w:t xml:space="preserve">at the connector </w:t>
      </w:r>
      <w:r w:rsidR="00820256">
        <w:rPr>
          <w:lang w:val="en-GB" w:eastAsia="ja-JP"/>
        </w:rPr>
        <w:t xml:space="preserve">becomes </w:t>
      </w:r>
      <w:r w:rsidR="00F333F0">
        <w:rPr>
          <w:lang w:val="en-GB" w:eastAsia="ja-JP"/>
        </w:rPr>
        <w:t>-</w:t>
      </w:r>
      <w:r w:rsidR="00407CCA">
        <w:rPr>
          <w:lang w:val="en-GB" w:eastAsia="ja-JP"/>
        </w:rPr>
        <w:t>48</w:t>
      </w:r>
      <w:r w:rsidR="00F55A66">
        <w:rPr>
          <w:lang w:val="en-GB" w:eastAsia="ja-JP"/>
        </w:rPr>
        <w:t xml:space="preserve"> </w:t>
      </w:r>
      <w:r w:rsidR="00F333F0">
        <w:rPr>
          <w:lang w:val="en-GB" w:eastAsia="ja-JP"/>
        </w:rPr>
        <w:t>dBm.</w:t>
      </w:r>
    </w:p>
    <w:p w14:paraId="60492803" w14:textId="5C6D8E26" w:rsidR="006C5B32" w:rsidRDefault="00F27B09" w:rsidP="002B1953">
      <w:pPr>
        <w:rPr>
          <w:lang w:val="en-GB" w:eastAsia="ja-JP"/>
        </w:rPr>
      </w:pPr>
      <w:proofErr w:type="gramStart"/>
      <w:r>
        <w:rPr>
          <w:lang w:val="en-GB" w:eastAsia="ja-JP"/>
        </w:rPr>
        <w:t>Taking into account</w:t>
      </w:r>
      <w:proofErr w:type="gramEnd"/>
      <w:r>
        <w:rPr>
          <w:lang w:val="en-GB" w:eastAsia="ja-JP"/>
        </w:rPr>
        <w:t xml:space="preserve"> these considerations, a conservative assumption for the input level could be in the range </w:t>
      </w:r>
      <w:r w:rsidR="00F84951">
        <w:rPr>
          <w:lang w:val="en-GB" w:eastAsia="ja-JP"/>
        </w:rPr>
        <w:t xml:space="preserve">-50dBm to </w:t>
      </w:r>
      <w:r>
        <w:rPr>
          <w:lang w:val="en-GB" w:eastAsia="ja-JP"/>
        </w:rPr>
        <w:t xml:space="preserve">-40 dBm. </w:t>
      </w:r>
      <w:r w:rsidR="005252B0">
        <w:rPr>
          <w:lang w:val="en-GB" w:eastAsia="ja-JP"/>
        </w:rPr>
        <w:t>Before taking a decision on the maximum input level, it would be very useful to further assess the extent to which the maximum input level would pose a design constraint to an avionics UE.</w:t>
      </w:r>
    </w:p>
    <w:p w14:paraId="71F33B44" w14:textId="34A6BFA2" w:rsidR="00DF1687" w:rsidRPr="00055E6D" w:rsidRDefault="00DF1687" w:rsidP="00DF1687">
      <w:pPr>
        <w:pStyle w:val="Proposal"/>
        <w:rPr>
          <w:lang w:val="en-GB"/>
        </w:rPr>
      </w:pPr>
      <w:bookmarkStart w:id="2" w:name="_Toc127552142"/>
      <w:r>
        <w:rPr>
          <w:lang w:val="en-GB"/>
        </w:rPr>
        <w:t>Consider -50dBm to -40dBm for the maximum input level. Check further the usefulness of relaxing the maximum input level for the avionics UE</w:t>
      </w:r>
      <w:r w:rsidR="006A63C9">
        <w:rPr>
          <w:lang w:val="en-GB"/>
        </w:rPr>
        <w:t>.</w:t>
      </w:r>
      <w:bookmarkEnd w:id="2"/>
    </w:p>
    <w:p w14:paraId="6B20BEDE" w14:textId="77777777" w:rsidR="00055E6D" w:rsidRDefault="00055E6D" w:rsidP="002B1953">
      <w:pPr>
        <w:rPr>
          <w:u w:val="single"/>
          <w:lang w:val="en-GB" w:eastAsia="ja-JP"/>
        </w:rPr>
      </w:pPr>
    </w:p>
    <w:p w14:paraId="1EEAC2CF" w14:textId="1F036493" w:rsidR="009463C4" w:rsidRDefault="009463C4" w:rsidP="002B1953">
      <w:pPr>
        <w:rPr>
          <w:u w:val="single"/>
          <w:lang w:val="en-GB" w:eastAsia="ja-JP"/>
        </w:rPr>
      </w:pPr>
      <w:r>
        <w:rPr>
          <w:u w:val="single"/>
          <w:lang w:val="en-GB" w:eastAsia="ja-JP"/>
        </w:rPr>
        <w:t>Adjacent channel selectivity</w:t>
      </w:r>
    </w:p>
    <w:p w14:paraId="60362B80" w14:textId="780EEFB4" w:rsidR="00047EC0" w:rsidRDefault="005252B0" w:rsidP="002B1953">
      <w:pPr>
        <w:rPr>
          <w:lang w:val="en-GB" w:eastAsia="ja-JP"/>
        </w:rPr>
      </w:pPr>
      <w:r>
        <w:rPr>
          <w:lang w:val="en-GB" w:eastAsia="ja-JP"/>
        </w:rPr>
        <w:t xml:space="preserve">The adjacent channel selectivity </w:t>
      </w:r>
      <w:r w:rsidR="00E31921">
        <w:rPr>
          <w:lang w:val="en-GB" w:eastAsia="ja-JP"/>
        </w:rPr>
        <w:t>shall be determined based on the co-existence simulations.</w:t>
      </w:r>
    </w:p>
    <w:p w14:paraId="307CB968" w14:textId="77777777" w:rsidR="00E31921" w:rsidRPr="005252B0" w:rsidRDefault="00E31921" w:rsidP="002B1953">
      <w:pPr>
        <w:rPr>
          <w:lang w:val="en-GB" w:eastAsia="ja-JP"/>
        </w:rPr>
      </w:pPr>
    </w:p>
    <w:p w14:paraId="4EC04D91" w14:textId="700ED176" w:rsidR="009463C4" w:rsidRDefault="009463C4" w:rsidP="002B1953">
      <w:pPr>
        <w:rPr>
          <w:u w:val="single"/>
          <w:lang w:val="en-GB" w:eastAsia="ja-JP"/>
        </w:rPr>
      </w:pPr>
      <w:r>
        <w:rPr>
          <w:u w:val="single"/>
          <w:lang w:val="en-GB" w:eastAsia="ja-JP"/>
        </w:rPr>
        <w:t>In-band blocking</w:t>
      </w:r>
    </w:p>
    <w:p w14:paraId="03868C7D" w14:textId="7BB3BACA" w:rsidR="00E31921" w:rsidRDefault="00554D73" w:rsidP="002B1953">
      <w:pPr>
        <w:rPr>
          <w:lang w:val="en-GB" w:eastAsia="ja-JP"/>
        </w:rPr>
      </w:pPr>
      <w:r>
        <w:rPr>
          <w:lang w:val="en-GB" w:eastAsia="ja-JP"/>
        </w:rPr>
        <w:t xml:space="preserve">Unlike a terrestrial UE, an ATG UE will not be in extremely </w:t>
      </w:r>
      <w:proofErr w:type="gramStart"/>
      <w:r>
        <w:rPr>
          <w:lang w:val="en-GB" w:eastAsia="ja-JP"/>
        </w:rPr>
        <w:t>close proximity</w:t>
      </w:r>
      <w:proofErr w:type="gramEnd"/>
      <w:r>
        <w:rPr>
          <w:lang w:val="en-GB" w:eastAsia="ja-JP"/>
        </w:rPr>
        <w:t xml:space="preserve"> to a base</w:t>
      </w:r>
      <w:r w:rsidR="00273528">
        <w:rPr>
          <w:lang w:val="en-GB" w:eastAsia="ja-JP"/>
        </w:rPr>
        <w:t xml:space="preserve"> </w:t>
      </w:r>
      <w:r>
        <w:rPr>
          <w:lang w:val="en-GB" w:eastAsia="ja-JP"/>
        </w:rPr>
        <w:t>station</w:t>
      </w:r>
      <w:r w:rsidR="00E667E6">
        <w:rPr>
          <w:lang w:val="en-GB" w:eastAsia="ja-JP"/>
        </w:rPr>
        <w:t>.</w:t>
      </w:r>
      <w:r w:rsidR="00F936FA">
        <w:rPr>
          <w:lang w:val="en-GB" w:eastAsia="ja-JP"/>
        </w:rPr>
        <w:t xml:space="preserve"> The UE will experience </w:t>
      </w:r>
      <w:proofErr w:type="spellStart"/>
      <w:r w:rsidR="00F936FA">
        <w:rPr>
          <w:lang w:val="en-GB" w:eastAsia="ja-JP"/>
        </w:rPr>
        <w:t>LoS</w:t>
      </w:r>
      <w:proofErr w:type="spellEnd"/>
      <w:r w:rsidR="00F936FA">
        <w:rPr>
          <w:lang w:val="en-GB" w:eastAsia="ja-JP"/>
        </w:rPr>
        <w:t xml:space="preserve"> pathloss to TN BS, but the TN BS will not be pointing antennas or beams at the ATG UE.</w:t>
      </w:r>
      <w:r w:rsidR="00E667E6">
        <w:rPr>
          <w:lang w:val="en-GB" w:eastAsia="ja-JP"/>
        </w:rPr>
        <w:t xml:space="preserve"> A conservative estimate for the in-band blocking experienced by an ATG UE due to a </w:t>
      </w:r>
      <w:r w:rsidR="00321790">
        <w:rPr>
          <w:lang w:val="en-GB" w:eastAsia="ja-JP"/>
        </w:rPr>
        <w:t xml:space="preserve">single </w:t>
      </w:r>
      <w:r w:rsidR="00E667E6">
        <w:rPr>
          <w:lang w:val="en-GB" w:eastAsia="ja-JP"/>
        </w:rPr>
        <w:t xml:space="preserve">TN </w:t>
      </w:r>
      <w:r w:rsidR="00321790">
        <w:rPr>
          <w:lang w:val="en-GB" w:eastAsia="ja-JP"/>
        </w:rPr>
        <w:t>node</w:t>
      </w:r>
      <w:r w:rsidR="00E667E6">
        <w:rPr>
          <w:lang w:val="en-GB" w:eastAsia="ja-JP"/>
        </w:rPr>
        <w:t xml:space="preserve"> </w:t>
      </w:r>
      <w:r w:rsidR="00F936FA">
        <w:rPr>
          <w:lang w:val="en-GB" w:eastAsia="ja-JP"/>
        </w:rPr>
        <w:t xml:space="preserve">suggests that the </w:t>
      </w:r>
      <w:r w:rsidR="005837A2">
        <w:rPr>
          <w:lang w:val="en-GB" w:eastAsia="ja-JP"/>
        </w:rPr>
        <w:t>blocker level could be 65dBm or lower</w:t>
      </w:r>
      <w:r w:rsidR="00F936FA">
        <w:rPr>
          <w:lang w:val="en-GB" w:eastAsia="ja-JP"/>
        </w:rPr>
        <w:t>.</w:t>
      </w:r>
      <w:r w:rsidR="005837A2">
        <w:rPr>
          <w:lang w:val="en-GB" w:eastAsia="ja-JP"/>
        </w:rPr>
        <w:t xml:space="preserve"> However, an ATG UE may experience RX power from </w:t>
      </w:r>
      <w:proofErr w:type="gramStart"/>
      <w:r w:rsidR="005837A2">
        <w:rPr>
          <w:lang w:val="en-GB" w:eastAsia="ja-JP"/>
        </w:rPr>
        <w:t>a large number of</w:t>
      </w:r>
      <w:proofErr w:type="gramEnd"/>
      <w:r w:rsidR="005837A2">
        <w:rPr>
          <w:lang w:val="en-GB" w:eastAsia="ja-JP"/>
        </w:rPr>
        <w:t xml:space="preserve"> TN BS. This is </w:t>
      </w:r>
      <w:proofErr w:type="gramStart"/>
      <w:r w:rsidR="005837A2">
        <w:rPr>
          <w:lang w:val="en-GB" w:eastAsia="ja-JP"/>
        </w:rPr>
        <w:t>in particular the</w:t>
      </w:r>
      <w:proofErr w:type="gramEnd"/>
      <w:r w:rsidR="005837A2">
        <w:rPr>
          <w:lang w:val="en-GB" w:eastAsia="ja-JP"/>
        </w:rPr>
        <w:t xml:space="preserve"> case for the 2GHz UE, which has an omni-directional antenna. To ascertain the blocking power due to TN, </w:t>
      </w:r>
      <w:r w:rsidR="001D5D7C">
        <w:rPr>
          <w:lang w:val="en-GB" w:eastAsia="ja-JP"/>
        </w:rPr>
        <w:t xml:space="preserve">simulations based on Scenario 11 (TN aggressor DL to ATG DL) could be used, but the CDF of the absolute RX power </w:t>
      </w:r>
      <w:r w:rsidR="001C4189">
        <w:rPr>
          <w:lang w:val="en-GB" w:eastAsia="ja-JP"/>
        </w:rPr>
        <w:t xml:space="preserve">from the TN </w:t>
      </w:r>
      <w:r w:rsidR="001D5D7C">
        <w:rPr>
          <w:lang w:val="en-GB" w:eastAsia="ja-JP"/>
        </w:rPr>
        <w:t>at the ATG UE examined.</w:t>
      </w:r>
    </w:p>
    <w:p w14:paraId="6667C238" w14:textId="73FBB941" w:rsidR="001D5D7C" w:rsidRDefault="001D5D7C" w:rsidP="00064FF8">
      <w:pPr>
        <w:pStyle w:val="Proposal"/>
        <w:rPr>
          <w:lang w:val="en-GB"/>
        </w:rPr>
      </w:pPr>
      <w:bookmarkStart w:id="3" w:name="_Toc127552143"/>
      <w:r>
        <w:rPr>
          <w:lang w:val="en-GB"/>
        </w:rPr>
        <w:t xml:space="preserve">To consider in-band blocking, </w:t>
      </w:r>
      <w:r w:rsidR="001C4189">
        <w:rPr>
          <w:lang w:val="en-GB"/>
        </w:rPr>
        <w:t>examine the CDF of RX power from the TN at the ATG UE using scenario 11.</w:t>
      </w:r>
      <w:bookmarkEnd w:id="3"/>
    </w:p>
    <w:p w14:paraId="543BCD75" w14:textId="4E1CA7AD" w:rsidR="00652714" w:rsidRDefault="00652714" w:rsidP="002B1953">
      <w:pPr>
        <w:rPr>
          <w:lang w:val="en-GB" w:eastAsia="ja-JP"/>
        </w:rPr>
      </w:pPr>
      <w:r w:rsidRPr="0CC9D293">
        <w:rPr>
          <w:lang w:val="en-GB" w:eastAsia="ja-JP"/>
        </w:rPr>
        <w:t xml:space="preserve">The co-existence simulations do not consider ATG-ATG co-existence. For in-band blocking, if a neighbour operator </w:t>
      </w:r>
      <w:r w:rsidR="00C82081" w:rsidRPr="0CC9D293">
        <w:rPr>
          <w:lang w:val="en-GB" w:eastAsia="ja-JP"/>
        </w:rPr>
        <w:t xml:space="preserve">also operates ATG then the blocking scenario may </w:t>
      </w:r>
      <w:r w:rsidR="00BE49B7">
        <w:rPr>
          <w:lang w:val="en-GB" w:eastAsia="ja-JP"/>
        </w:rPr>
        <w:t>also be significant</w:t>
      </w:r>
      <w:r w:rsidR="00C82081">
        <w:rPr>
          <w:lang w:val="en-GB" w:eastAsia="ja-JP"/>
        </w:rPr>
        <w:t>.</w:t>
      </w:r>
      <w:r w:rsidR="00C82081" w:rsidRPr="0CC9D293">
        <w:rPr>
          <w:lang w:val="en-GB" w:eastAsia="ja-JP"/>
        </w:rPr>
        <w:t xml:space="preserve"> The worst case would be co-located ATG BS pointing at different aircraft that are relatively close to one another</w:t>
      </w:r>
      <w:r w:rsidR="00BE49B7">
        <w:rPr>
          <w:lang w:val="en-GB" w:eastAsia="ja-JP"/>
        </w:rPr>
        <w:t xml:space="preserve"> and relatively close to the BS</w:t>
      </w:r>
      <w:r w:rsidR="00C82081" w:rsidRPr="0CC9D293">
        <w:rPr>
          <w:lang w:val="en-GB" w:eastAsia="ja-JP"/>
        </w:rPr>
        <w:t xml:space="preserve">, such that the victim ATG UE could still be </w:t>
      </w:r>
      <w:r w:rsidR="00BE49B7">
        <w:rPr>
          <w:lang w:val="en-GB" w:eastAsia="ja-JP"/>
        </w:rPr>
        <w:t xml:space="preserve">close to </w:t>
      </w:r>
      <w:r w:rsidR="00C82081" w:rsidRPr="0CC9D293">
        <w:rPr>
          <w:lang w:val="en-GB" w:eastAsia="ja-JP"/>
        </w:rPr>
        <w:t>the beam of the aggressor BS.</w:t>
      </w:r>
    </w:p>
    <w:p w14:paraId="60401B01" w14:textId="1658ED1A" w:rsidR="00C82081" w:rsidRDefault="00C82081" w:rsidP="002B1953">
      <w:pPr>
        <w:rPr>
          <w:lang w:val="en-GB" w:eastAsia="ja-JP"/>
        </w:rPr>
      </w:pPr>
    </w:p>
    <w:p w14:paraId="174B8C62" w14:textId="5E91CC49" w:rsidR="00C82081" w:rsidRDefault="00AC0916" w:rsidP="002B1953">
      <w:pPr>
        <w:rPr>
          <w:lang w:val="en-GB" w:eastAsia="ja-JP"/>
        </w:rPr>
      </w:pPr>
      <w:r>
        <w:rPr>
          <w:noProof/>
          <w:lang w:val="en-GB" w:eastAsia="ja-JP"/>
        </w:rPr>
        <w:drawing>
          <wp:inline distT="0" distB="0" distL="0" distR="0" wp14:anchorId="6C3C7657" wp14:editId="7CE9DB85">
            <wp:extent cx="5424942" cy="9895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43536" cy="992972"/>
                    </a:xfrm>
                    <a:prstGeom prst="rect">
                      <a:avLst/>
                    </a:prstGeom>
                    <a:noFill/>
                  </pic:spPr>
                </pic:pic>
              </a:graphicData>
            </a:graphic>
          </wp:inline>
        </w:drawing>
      </w:r>
    </w:p>
    <w:p w14:paraId="478A1CAD" w14:textId="2B1E6F73" w:rsidR="00AC0916" w:rsidRDefault="00AC0916" w:rsidP="002B1953">
      <w:pPr>
        <w:rPr>
          <w:lang w:val="en-GB" w:eastAsia="ja-JP"/>
        </w:rPr>
      </w:pPr>
      <w:r>
        <w:rPr>
          <w:lang w:val="en-GB" w:eastAsia="ja-JP"/>
        </w:rPr>
        <w:t>Assuming 20km from the ATG BS for the victim aircraft and 8km separation</w:t>
      </w:r>
      <w:r w:rsidR="00BF2426">
        <w:rPr>
          <w:lang w:val="en-GB" w:eastAsia="ja-JP"/>
        </w:rPr>
        <w:t xml:space="preserve"> between aircraft</w:t>
      </w:r>
      <w:r>
        <w:rPr>
          <w:lang w:val="en-GB" w:eastAsia="ja-JP"/>
        </w:rPr>
        <w:t xml:space="preserve">, the angular separation of the aircraft would be </w:t>
      </w:r>
      <w:r w:rsidR="0084283E">
        <w:rPr>
          <w:lang w:val="en-GB" w:eastAsia="ja-JP"/>
        </w:rPr>
        <w:t>6 degrees. The victim aircraft could potentially be at the edge of the lob</w:t>
      </w:r>
      <w:r w:rsidR="00BA1610">
        <w:rPr>
          <w:lang w:val="en-GB" w:eastAsia="ja-JP"/>
        </w:rPr>
        <w:t>e</w:t>
      </w:r>
      <w:r w:rsidR="0084283E">
        <w:rPr>
          <w:lang w:val="en-GB" w:eastAsia="ja-JP"/>
        </w:rPr>
        <w:t xml:space="preserve"> of the beam towards the aggressor aircraft.</w:t>
      </w:r>
    </w:p>
    <w:p w14:paraId="0A3C2A1D" w14:textId="3801E32B" w:rsidR="00C82081" w:rsidRDefault="00C82081" w:rsidP="002B1953">
      <w:pPr>
        <w:rPr>
          <w:lang w:val="en-GB" w:eastAsia="ja-JP"/>
        </w:rPr>
      </w:pPr>
      <w:r>
        <w:rPr>
          <w:lang w:val="en-GB" w:eastAsia="ja-JP"/>
        </w:rPr>
        <w:t xml:space="preserve">In this case, the blocking requirement </w:t>
      </w:r>
      <w:r w:rsidR="0084283E">
        <w:rPr>
          <w:lang w:val="en-GB" w:eastAsia="ja-JP"/>
        </w:rPr>
        <w:t>would not be</w:t>
      </w:r>
      <w:r w:rsidR="00E04DC9">
        <w:rPr>
          <w:lang w:val="en-GB" w:eastAsia="ja-JP"/>
        </w:rPr>
        <w:t xml:space="preserve"> larger</w:t>
      </w:r>
      <w:r>
        <w:rPr>
          <w:lang w:val="en-GB" w:eastAsia="ja-JP"/>
        </w:rPr>
        <w:t xml:space="preserve"> </w:t>
      </w:r>
      <w:r w:rsidR="00E04DC9">
        <w:rPr>
          <w:lang w:val="en-GB" w:eastAsia="ja-JP"/>
        </w:rPr>
        <w:t xml:space="preserve">than </w:t>
      </w:r>
      <w:r>
        <w:rPr>
          <w:lang w:val="en-GB" w:eastAsia="ja-JP"/>
        </w:rPr>
        <w:t xml:space="preserve">the </w:t>
      </w:r>
      <w:r w:rsidR="00D8501A">
        <w:rPr>
          <w:lang w:val="en-GB" w:eastAsia="ja-JP"/>
        </w:rPr>
        <w:t xml:space="preserve">maximum </w:t>
      </w:r>
      <w:r>
        <w:rPr>
          <w:lang w:val="en-GB" w:eastAsia="ja-JP"/>
        </w:rPr>
        <w:t xml:space="preserve">input level </w:t>
      </w:r>
      <w:proofErr w:type="gramStart"/>
      <w:r>
        <w:rPr>
          <w:lang w:val="en-GB" w:eastAsia="ja-JP"/>
        </w:rPr>
        <w:t>requirement</w:t>
      </w:r>
      <w:r w:rsidR="00E04DC9">
        <w:rPr>
          <w:lang w:val="en-GB" w:eastAsia="ja-JP"/>
        </w:rPr>
        <w:t>, but</w:t>
      </w:r>
      <w:proofErr w:type="gramEnd"/>
      <w:r w:rsidR="00E04DC9">
        <w:rPr>
          <w:lang w:val="en-GB" w:eastAsia="ja-JP"/>
        </w:rPr>
        <w:t xml:space="preserve"> may be lower due to different positions of the aggressor and victim aircraft within the aggressor beam</w:t>
      </w:r>
      <w:r w:rsidR="002B6991">
        <w:rPr>
          <w:lang w:val="en-GB" w:eastAsia="ja-JP"/>
        </w:rPr>
        <w:t xml:space="preserve">. </w:t>
      </w:r>
    </w:p>
    <w:p w14:paraId="5C42696B" w14:textId="7C127DD8" w:rsidR="002B6991" w:rsidRDefault="002B6991" w:rsidP="002B1953">
      <w:pPr>
        <w:rPr>
          <w:lang w:val="en-GB" w:eastAsia="ja-JP"/>
        </w:rPr>
      </w:pPr>
      <w:r>
        <w:rPr>
          <w:lang w:val="en-GB" w:eastAsia="ja-JP"/>
        </w:rPr>
        <w:t xml:space="preserve">RAN4 should discuss whether to </w:t>
      </w:r>
      <w:proofErr w:type="gramStart"/>
      <w:r>
        <w:rPr>
          <w:lang w:val="en-GB" w:eastAsia="ja-JP"/>
        </w:rPr>
        <w:t>take into account</w:t>
      </w:r>
      <w:proofErr w:type="gramEnd"/>
      <w:r>
        <w:rPr>
          <w:lang w:val="en-GB" w:eastAsia="ja-JP"/>
        </w:rPr>
        <w:t xml:space="preserve"> blocking from ATG BS transmitters of other operators when determining the in-band blocking requirement. In case ATG blocking is considered, there is then a need to consider the minimum </w:t>
      </w:r>
      <w:r w:rsidR="00E50BB4">
        <w:rPr>
          <w:lang w:val="en-GB" w:eastAsia="ja-JP"/>
        </w:rPr>
        <w:t>horizontal and height separation between aircraft to consider, as this will determine the extent to which a victim ATG UE could lie within the beam of an aggressor ATG BS.</w:t>
      </w:r>
    </w:p>
    <w:p w14:paraId="6C72B90F" w14:textId="0A58BB5E" w:rsidR="006A63C9" w:rsidRDefault="006A63C9" w:rsidP="006A63C9">
      <w:pPr>
        <w:pStyle w:val="Proposal"/>
        <w:rPr>
          <w:lang w:val="en-GB"/>
        </w:rPr>
      </w:pPr>
      <w:bookmarkStart w:id="4" w:name="_Toc127552144"/>
      <w:r>
        <w:rPr>
          <w:lang w:val="en-GB"/>
        </w:rPr>
        <w:lastRenderedPageBreak/>
        <w:t>RAN4 to discuss and agree whether the in-band blocking requirement should consider potential blocking from another operator ATG network.</w:t>
      </w:r>
      <w:bookmarkEnd w:id="4"/>
    </w:p>
    <w:p w14:paraId="0918C9B6" w14:textId="0F6B3482" w:rsidR="006A63C9" w:rsidRPr="00E31921" w:rsidRDefault="006A63C9" w:rsidP="00D274C7">
      <w:pPr>
        <w:pStyle w:val="B8"/>
        <w:rPr>
          <w:lang w:val="en-GB"/>
        </w:rPr>
      </w:pPr>
    </w:p>
    <w:p w14:paraId="2DF9379F" w14:textId="77777777" w:rsidR="00E31921" w:rsidRDefault="00E31921" w:rsidP="002B1953">
      <w:pPr>
        <w:rPr>
          <w:u w:val="single"/>
          <w:lang w:val="en-GB" w:eastAsia="ja-JP"/>
        </w:rPr>
      </w:pPr>
    </w:p>
    <w:p w14:paraId="4D038A1A" w14:textId="1ECA34F9" w:rsidR="009463C4" w:rsidRDefault="009463C4" w:rsidP="002B1953">
      <w:pPr>
        <w:rPr>
          <w:u w:val="single"/>
          <w:lang w:val="en-GB" w:eastAsia="ja-JP"/>
        </w:rPr>
      </w:pPr>
      <w:r>
        <w:rPr>
          <w:u w:val="single"/>
          <w:lang w:val="en-GB" w:eastAsia="ja-JP"/>
        </w:rPr>
        <w:t>Out of band blocking</w:t>
      </w:r>
    </w:p>
    <w:p w14:paraId="4E5EFFD6" w14:textId="0E975FE9" w:rsidR="00E50BB4" w:rsidRDefault="00045622" w:rsidP="002B1953">
      <w:pPr>
        <w:rPr>
          <w:lang w:val="en-GB" w:eastAsia="ja-JP"/>
        </w:rPr>
      </w:pPr>
      <w:proofErr w:type="gramStart"/>
      <w:r>
        <w:rPr>
          <w:lang w:val="en-GB" w:eastAsia="ja-JP"/>
        </w:rPr>
        <w:t>Similar to</w:t>
      </w:r>
      <w:proofErr w:type="gramEnd"/>
      <w:r>
        <w:rPr>
          <w:lang w:val="en-GB" w:eastAsia="ja-JP"/>
        </w:rPr>
        <w:t xml:space="preserve"> in-band blocking, the out of band blocking scenario will be different between an ATG UE, which will be in the air and at a large distance from other ground systems and a TN UE. However, for an ATG UE there may be sources of out of band blocking </w:t>
      </w:r>
      <w:r w:rsidR="00E826BC">
        <w:rPr>
          <w:lang w:val="en-GB" w:eastAsia="ja-JP"/>
        </w:rPr>
        <w:t>arising from other radio transmitters in proximity to the UE on the aircraft body. Another source of out of band blocking could be radar systems transmitting pulses to the aircraft. To determine the out of band blocking requirement, a deeper understanding of the avionics radio environment is needed.</w:t>
      </w:r>
    </w:p>
    <w:p w14:paraId="60473952" w14:textId="4FD13896" w:rsidR="006A63C9" w:rsidRPr="00045622" w:rsidRDefault="006A63C9" w:rsidP="006A63C9">
      <w:pPr>
        <w:pStyle w:val="Observation"/>
        <w:rPr>
          <w:lang w:val="en-GB"/>
        </w:rPr>
      </w:pPr>
      <w:bookmarkStart w:id="5" w:name="_Toc127552135"/>
      <w:r>
        <w:rPr>
          <w:lang w:val="en-GB"/>
        </w:rPr>
        <w:t>The out of band blocking requirement depends on the environment of other radio transmitters and radar systems.</w:t>
      </w:r>
      <w:bookmarkEnd w:id="5"/>
    </w:p>
    <w:p w14:paraId="0FA30DA7" w14:textId="77777777" w:rsidR="00E50BB4" w:rsidRDefault="00E50BB4" w:rsidP="002B1953">
      <w:pPr>
        <w:rPr>
          <w:u w:val="single"/>
          <w:lang w:val="en-GB" w:eastAsia="ja-JP"/>
        </w:rPr>
      </w:pPr>
    </w:p>
    <w:p w14:paraId="187DA001" w14:textId="18D0C3EA" w:rsidR="009463C4" w:rsidRDefault="009463C4" w:rsidP="002B1953">
      <w:pPr>
        <w:rPr>
          <w:u w:val="single"/>
          <w:lang w:val="en-GB" w:eastAsia="ja-JP"/>
        </w:rPr>
      </w:pPr>
      <w:r>
        <w:rPr>
          <w:u w:val="single"/>
          <w:lang w:val="en-GB" w:eastAsia="ja-JP"/>
        </w:rPr>
        <w:t>Narrowband blocking</w:t>
      </w:r>
    </w:p>
    <w:p w14:paraId="1BF89425" w14:textId="2874BD57" w:rsidR="00E826BC" w:rsidRDefault="00890E1C" w:rsidP="002B1953">
      <w:pPr>
        <w:rPr>
          <w:lang w:val="en-GB" w:eastAsia="ja-JP"/>
        </w:rPr>
      </w:pPr>
      <w:r>
        <w:rPr>
          <w:lang w:val="en-GB" w:eastAsia="ja-JP"/>
        </w:rPr>
        <w:t>Narrowband blocking is applicable for n1 but not for the 4GHz TDD bands. The narrowband blocking requirement can be adjusted relative to the TN requirement in the same proportion of any adjustment of the in-band blocking requirement.</w:t>
      </w:r>
    </w:p>
    <w:p w14:paraId="21908D32" w14:textId="765CC855" w:rsidR="006A63C9" w:rsidRPr="00890E1C" w:rsidRDefault="006A63C9" w:rsidP="006A63C9">
      <w:pPr>
        <w:pStyle w:val="Proposal"/>
        <w:rPr>
          <w:lang w:val="en-GB"/>
        </w:rPr>
      </w:pPr>
      <w:bookmarkStart w:id="6" w:name="_Toc127552145"/>
      <w:r>
        <w:rPr>
          <w:lang w:val="en-GB"/>
        </w:rPr>
        <w:t>Adjust the narrowband blocking requirement in the same proportion as any adjustment of the in-band blocking requirement.</w:t>
      </w:r>
      <w:bookmarkEnd w:id="6"/>
    </w:p>
    <w:p w14:paraId="0D60A3F4" w14:textId="77777777" w:rsidR="00E826BC" w:rsidRDefault="00E826BC" w:rsidP="002B1953">
      <w:pPr>
        <w:rPr>
          <w:u w:val="single"/>
          <w:lang w:val="en-GB" w:eastAsia="ja-JP"/>
        </w:rPr>
      </w:pPr>
    </w:p>
    <w:p w14:paraId="468143F1" w14:textId="11F88458" w:rsidR="009463C4" w:rsidRDefault="009463C4" w:rsidP="002B1953">
      <w:pPr>
        <w:rPr>
          <w:u w:val="single"/>
          <w:lang w:val="en-GB" w:eastAsia="ja-JP"/>
        </w:rPr>
      </w:pPr>
      <w:r>
        <w:rPr>
          <w:u w:val="single"/>
          <w:lang w:val="en-GB" w:eastAsia="ja-JP"/>
        </w:rPr>
        <w:t>Spurious response</w:t>
      </w:r>
    </w:p>
    <w:p w14:paraId="05F9D8CC" w14:textId="1284609A" w:rsidR="007D0E09" w:rsidRDefault="007D0E09" w:rsidP="002B1953">
      <w:pPr>
        <w:rPr>
          <w:lang w:val="en-GB" w:eastAsia="ja-JP"/>
        </w:rPr>
      </w:pPr>
      <w:r>
        <w:rPr>
          <w:lang w:val="en-GB" w:eastAsia="ja-JP"/>
        </w:rPr>
        <w:t>The spurious response requirement is related to the out of band blocking</w:t>
      </w:r>
      <w:r w:rsidR="00D54DA7">
        <w:rPr>
          <w:lang w:val="en-GB" w:eastAsia="ja-JP"/>
        </w:rPr>
        <w:t xml:space="preserve"> requirement and may need some further insight into the avionics interference environment.</w:t>
      </w:r>
    </w:p>
    <w:p w14:paraId="167F8E15" w14:textId="1BA9C293" w:rsidR="006A63C9" w:rsidRPr="006A63C9" w:rsidRDefault="006A63C9" w:rsidP="006A63C9">
      <w:pPr>
        <w:pStyle w:val="Observation"/>
        <w:rPr>
          <w:lang w:val="en-GB"/>
        </w:rPr>
      </w:pPr>
      <w:bookmarkStart w:id="7" w:name="_Toc127552136"/>
      <w:r>
        <w:rPr>
          <w:lang w:val="en-GB"/>
        </w:rPr>
        <w:t>The spurious response requirement depends on the environment of other radio transmitters and radar systems.</w:t>
      </w:r>
      <w:bookmarkEnd w:id="7"/>
    </w:p>
    <w:p w14:paraId="175C639D" w14:textId="77777777" w:rsidR="00D54DA7" w:rsidRPr="007D0E09" w:rsidRDefault="00D54DA7" w:rsidP="002B1953">
      <w:pPr>
        <w:rPr>
          <w:lang w:val="en-GB" w:eastAsia="ja-JP"/>
        </w:rPr>
      </w:pPr>
    </w:p>
    <w:p w14:paraId="6734BE51" w14:textId="3B56BAB2" w:rsidR="009463C4" w:rsidRDefault="009463C4" w:rsidP="002B1953">
      <w:pPr>
        <w:rPr>
          <w:u w:val="single"/>
          <w:lang w:val="en-GB" w:eastAsia="ja-JP"/>
        </w:rPr>
      </w:pPr>
      <w:r>
        <w:rPr>
          <w:u w:val="single"/>
          <w:lang w:val="en-GB" w:eastAsia="ja-JP"/>
        </w:rPr>
        <w:t>Intermodulation characteristics</w:t>
      </w:r>
    </w:p>
    <w:p w14:paraId="09451642" w14:textId="5A9A3926" w:rsidR="00B4293D" w:rsidRDefault="00753C41" w:rsidP="002B1953">
      <w:pPr>
        <w:rPr>
          <w:lang w:val="en-GB" w:eastAsia="ja-JP"/>
        </w:rPr>
      </w:pPr>
      <w:r>
        <w:rPr>
          <w:lang w:val="en-GB" w:eastAsia="ja-JP"/>
        </w:rPr>
        <w:t xml:space="preserve">The intermodulation requirements implicitly set a requirement on receiver linearity and should </w:t>
      </w:r>
      <w:r w:rsidR="00AC10E8">
        <w:rPr>
          <w:lang w:val="en-GB" w:eastAsia="ja-JP"/>
        </w:rPr>
        <w:t xml:space="preserve">maintain the same linearity performance for ATG UEs. The intermodulation input levels should not exceed the in-band blocking requirement. </w:t>
      </w:r>
      <w:r w:rsidR="00C11C14">
        <w:rPr>
          <w:lang w:val="en-GB" w:eastAsia="ja-JP"/>
        </w:rPr>
        <w:t xml:space="preserve">We propose that the intermodulation requirement is determined after the in-band blocking and maximum input requirement levels have been determined </w:t>
      </w:r>
      <w:proofErr w:type="gramStart"/>
      <w:r w:rsidR="00C11C14">
        <w:rPr>
          <w:lang w:val="en-GB" w:eastAsia="ja-JP"/>
        </w:rPr>
        <w:t>in order to</w:t>
      </w:r>
      <w:proofErr w:type="gramEnd"/>
      <w:r w:rsidR="00C11C14">
        <w:rPr>
          <w:lang w:val="en-GB" w:eastAsia="ja-JP"/>
        </w:rPr>
        <w:t xml:space="preserve"> ensure that the receiver linearity impact on the noise floor at maximum power is the same for ATG UEs with ATG maximum input and blocking levels as the linearity for TN UEs with their respective maximum input and blocking levels.</w:t>
      </w:r>
    </w:p>
    <w:p w14:paraId="698F4609" w14:textId="0BB01075" w:rsidR="006A63C9" w:rsidRPr="00753C41" w:rsidRDefault="006A63C9" w:rsidP="006A63C9">
      <w:pPr>
        <w:pStyle w:val="Proposal"/>
        <w:rPr>
          <w:lang w:val="en-GB"/>
        </w:rPr>
      </w:pPr>
      <w:bookmarkStart w:id="8" w:name="_Toc127552146"/>
      <w:r>
        <w:rPr>
          <w:lang w:val="en-GB"/>
        </w:rPr>
        <w:t xml:space="preserve">The RX intermodulation requirement should be considered after the maximum </w:t>
      </w:r>
      <w:r w:rsidR="000F417E">
        <w:rPr>
          <w:lang w:val="en-GB"/>
        </w:rPr>
        <w:t>input level and blocking requirements are determined.</w:t>
      </w:r>
      <w:bookmarkEnd w:id="8"/>
    </w:p>
    <w:p w14:paraId="012A9E71" w14:textId="77777777" w:rsidR="00B4293D" w:rsidRDefault="00B4293D" w:rsidP="002B1953">
      <w:pPr>
        <w:rPr>
          <w:u w:val="single"/>
          <w:lang w:val="en-GB" w:eastAsia="ja-JP"/>
        </w:rPr>
      </w:pPr>
    </w:p>
    <w:p w14:paraId="65E5CB0F" w14:textId="26E4A584" w:rsidR="009463C4" w:rsidRDefault="009463C4" w:rsidP="002B1953">
      <w:pPr>
        <w:rPr>
          <w:u w:val="single"/>
          <w:lang w:val="en-GB" w:eastAsia="ja-JP"/>
        </w:rPr>
      </w:pPr>
      <w:r>
        <w:rPr>
          <w:u w:val="single"/>
          <w:lang w:val="en-GB" w:eastAsia="ja-JP"/>
        </w:rPr>
        <w:t>Receiver spurious emissions</w:t>
      </w:r>
    </w:p>
    <w:p w14:paraId="060A8CC9" w14:textId="410A7596" w:rsidR="002B1953" w:rsidRPr="003F14FA" w:rsidRDefault="003F14FA" w:rsidP="002B1953">
      <w:pPr>
        <w:rPr>
          <w:lang w:val="en-GB" w:eastAsia="ja-JP"/>
        </w:rPr>
      </w:pPr>
      <w:r w:rsidRPr="003F14FA">
        <w:rPr>
          <w:lang w:val="en-GB" w:eastAsia="ja-JP"/>
        </w:rPr>
        <w:t xml:space="preserve">According to the WF of RAN4#105, </w:t>
      </w:r>
      <w:r>
        <w:rPr>
          <w:lang w:val="en-GB" w:eastAsia="ja-JP"/>
        </w:rPr>
        <w:t>the TN UE RX spurious emissions requirement should be applied.</w:t>
      </w:r>
    </w:p>
    <w:p w14:paraId="3879E8F8" w14:textId="77777777" w:rsidR="00C473A5" w:rsidRDefault="00C473A5" w:rsidP="00CE0424">
      <w:pPr>
        <w:pStyle w:val="Heading1"/>
        <w:sectPr w:rsidR="00C473A5" w:rsidSect="003F14FA">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3871203" w14:textId="0F6020CA" w:rsidR="00064FF8"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552135" w:history="1">
        <w:r w:rsidR="00064FF8" w:rsidRPr="00480E3A">
          <w:rPr>
            <w:rStyle w:val="Hyperlink"/>
            <w:noProof/>
            <w:lang w:val="en-GB"/>
          </w:rPr>
          <w:t>Observation 1</w:t>
        </w:r>
        <w:r w:rsidR="00064FF8">
          <w:rPr>
            <w:rFonts w:asciiTheme="minorHAnsi" w:eastAsiaTheme="minorEastAsia" w:hAnsiTheme="minorHAnsi"/>
            <w:b w:val="0"/>
            <w:noProof/>
            <w:sz w:val="22"/>
            <w:lang w:val="en-SE" w:eastAsia="en-SE"/>
          </w:rPr>
          <w:tab/>
        </w:r>
        <w:r w:rsidR="00064FF8" w:rsidRPr="00480E3A">
          <w:rPr>
            <w:rStyle w:val="Hyperlink"/>
            <w:noProof/>
            <w:lang w:val="en-GB"/>
          </w:rPr>
          <w:t>The out of band blocking requirement depends on the environment of other radio transmitters and radar systems.</w:t>
        </w:r>
      </w:hyperlink>
    </w:p>
    <w:p w14:paraId="3FCAB3DD" w14:textId="45A7569A" w:rsidR="00064FF8" w:rsidRDefault="00064FF8">
      <w:pPr>
        <w:pStyle w:val="TableofFigures"/>
        <w:tabs>
          <w:tab w:val="right" w:leader="dot" w:pos="9629"/>
        </w:tabs>
        <w:rPr>
          <w:rFonts w:asciiTheme="minorHAnsi" w:eastAsiaTheme="minorEastAsia" w:hAnsiTheme="minorHAnsi"/>
          <w:b w:val="0"/>
          <w:noProof/>
          <w:sz w:val="22"/>
          <w:lang w:val="en-SE" w:eastAsia="en-SE"/>
        </w:rPr>
      </w:pPr>
      <w:hyperlink w:anchor="_Toc127552136" w:history="1">
        <w:r w:rsidRPr="00480E3A">
          <w:rPr>
            <w:rStyle w:val="Hyperlink"/>
            <w:noProof/>
            <w:lang w:val="en-GB"/>
          </w:rPr>
          <w:t>Observation 2</w:t>
        </w:r>
        <w:r>
          <w:rPr>
            <w:rFonts w:asciiTheme="minorHAnsi" w:eastAsiaTheme="minorEastAsia" w:hAnsiTheme="minorHAnsi"/>
            <w:b w:val="0"/>
            <w:noProof/>
            <w:sz w:val="22"/>
            <w:lang w:val="en-SE" w:eastAsia="en-SE"/>
          </w:rPr>
          <w:tab/>
        </w:r>
        <w:r w:rsidRPr="00480E3A">
          <w:rPr>
            <w:rStyle w:val="Hyperlink"/>
            <w:noProof/>
            <w:lang w:val="en-GB"/>
          </w:rPr>
          <w:t>The spurious response requirement depends on the environment of other radio transmitters and radar systems.</w:t>
        </w:r>
      </w:hyperlink>
    </w:p>
    <w:p w14:paraId="5F69EC0F" w14:textId="5E62F6A8"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9B8732C" w14:textId="73AC7B44" w:rsidR="00064FF8"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27552141" w:history="1">
        <w:r w:rsidR="00064FF8" w:rsidRPr="00345C10">
          <w:rPr>
            <w:rStyle w:val="Hyperlink"/>
            <w:noProof/>
            <w:lang w:val="en-GB"/>
          </w:rPr>
          <w:t>Proposal 1</w:t>
        </w:r>
        <w:r w:rsidR="00064FF8">
          <w:rPr>
            <w:rFonts w:asciiTheme="minorHAnsi" w:eastAsiaTheme="minorEastAsia" w:hAnsiTheme="minorHAnsi"/>
            <w:b w:val="0"/>
            <w:noProof/>
            <w:sz w:val="22"/>
            <w:lang w:val="en-SE" w:eastAsia="en-SE"/>
          </w:rPr>
          <w:tab/>
        </w:r>
        <w:r w:rsidR="00064FF8" w:rsidRPr="00345C10">
          <w:rPr>
            <w:rStyle w:val="Hyperlink"/>
            <w:noProof/>
            <w:lang w:val="en-GB"/>
          </w:rPr>
          <w:t>TN reference sensitivity can be baseline. Further discussion should check that the sensitivity is achievable and relevant for avionics UEs.</w:t>
        </w:r>
      </w:hyperlink>
    </w:p>
    <w:p w14:paraId="24271A08" w14:textId="5333CACD" w:rsidR="00064FF8" w:rsidRDefault="00064FF8">
      <w:pPr>
        <w:pStyle w:val="TableofFigures"/>
        <w:tabs>
          <w:tab w:val="right" w:leader="dot" w:pos="9629"/>
        </w:tabs>
        <w:rPr>
          <w:rFonts w:asciiTheme="minorHAnsi" w:eastAsiaTheme="minorEastAsia" w:hAnsiTheme="minorHAnsi"/>
          <w:b w:val="0"/>
          <w:noProof/>
          <w:sz w:val="22"/>
          <w:lang w:val="en-SE" w:eastAsia="en-SE"/>
        </w:rPr>
      </w:pPr>
      <w:hyperlink w:anchor="_Toc127552142" w:history="1">
        <w:r w:rsidRPr="00345C10">
          <w:rPr>
            <w:rStyle w:val="Hyperlink"/>
            <w:noProof/>
            <w:lang w:val="en-GB"/>
          </w:rPr>
          <w:t>Proposal 2</w:t>
        </w:r>
        <w:r>
          <w:rPr>
            <w:rFonts w:asciiTheme="minorHAnsi" w:eastAsiaTheme="minorEastAsia" w:hAnsiTheme="minorHAnsi"/>
            <w:b w:val="0"/>
            <w:noProof/>
            <w:sz w:val="22"/>
            <w:lang w:val="en-SE" w:eastAsia="en-SE"/>
          </w:rPr>
          <w:tab/>
        </w:r>
        <w:r w:rsidRPr="00345C10">
          <w:rPr>
            <w:rStyle w:val="Hyperlink"/>
            <w:noProof/>
            <w:lang w:val="en-GB"/>
          </w:rPr>
          <w:t>Consider -50dBm to -40dBm for the maximum input level. Check further the usefulness of relaxing the maximum input level for the avionics UE.</w:t>
        </w:r>
      </w:hyperlink>
    </w:p>
    <w:p w14:paraId="0B1E5D7B" w14:textId="396CBB54" w:rsidR="00064FF8" w:rsidRDefault="00064FF8">
      <w:pPr>
        <w:pStyle w:val="TableofFigures"/>
        <w:tabs>
          <w:tab w:val="right" w:leader="dot" w:pos="9629"/>
        </w:tabs>
        <w:rPr>
          <w:rFonts w:asciiTheme="minorHAnsi" w:eastAsiaTheme="minorEastAsia" w:hAnsiTheme="minorHAnsi"/>
          <w:b w:val="0"/>
          <w:noProof/>
          <w:sz w:val="22"/>
          <w:lang w:val="en-SE" w:eastAsia="en-SE"/>
        </w:rPr>
      </w:pPr>
      <w:hyperlink w:anchor="_Toc127552143" w:history="1">
        <w:r w:rsidRPr="00345C10">
          <w:rPr>
            <w:rStyle w:val="Hyperlink"/>
            <w:noProof/>
            <w:lang w:val="en-GB"/>
          </w:rPr>
          <w:t>Proposal 3</w:t>
        </w:r>
        <w:r>
          <w:rPr>
            <w:rFonts w:asciiTheme="minorHAnsi" w:eastAsiaTheme="minorEastAsia" w:hAnsiTheme="minorHAnsi"/>
            <w:b w:val="0"/>
            <w:noProof/>
            <w:sz w:val="22"/>
            <w:lang w:val="en-SE" w:eastAsia="en-SE"/>
          </w:rPr>
          <w:tab/>
        </w:r>
        <w:r w:rsidRPr="00345C10">
          <w:rPr>
            <w:rStyle w:val="Hyperlink"/>
            <w:noProof/>
            <w:lang w:val="en-GB"/>
          </w:rPr>
          <w:t>To consider in-band blocking, examine the CDF of RX power from the TN at the ATG UE using scenario 11.</w:t>
        </w:r>
      </w:hyperlink>
    </w:p>
    <w:p w14:paraId="26F4F07B" w14:textId="18C835DE" w:rsidR="00064FF8" w:rsidRDefault="00064FF8">
      <w:pPr>
        <w:pStyle w:val="TableofFigures"/>
        <w:tabs>
          <w:tab w:val="right" w:leader="dot" w:pos="9629"/>
        </w:tabs>
        <w:rPr>
          <w:rFonts w:asciiTheme="minorHAnsi" w:eastAsiaTheme="minorEastAsia" w:hAnsiTheme="minorHAnsi"/>
          <w:b w:val="0"/>
          <w:noProof/>
          <w:sz w:val="22"/>
          <w:lang w:val="en-SE" w:eastAsia="en-SE"/>
        </w:rPr>
      </w:pPr>
      <w:hyperlink w:anchor="_Toc127552144" w:history="1">
        <w:r w:rsidRPr="00345C10">
          <w:rPr>
            <w:rStyle w:val="Hyperlink"/>
            <w:noProof/>
            <w:lang w:val="en-GB"/>
          </w:rPr>
          <w:t>Proposal 4</w:t>
        </w:r>
        <w:r>
          <w:rPr>
            <w:rFonts w:asciiTheme="minorHAnsi" w:eastAsiaTheme="minorEastAsia" w:hAnsiTheme="minorHAnsi"/>
            <w:b w:val="0"/>
            <w:noProof/>
            <w:sz w:val="22"/>
            <w:lang w:val="en-SE" w:eastAsia="en-SE"/>
          </w:rPr>
          <w:tab/>
        </w:r>
        <w:r w:rsidRPr="00345C10">
          <w:rPr>
            <w:rStyle w:val="Hyperlink"/>
            <w:noProof/>
            <w:lang w:val="en-GB"/>
          </w:rPr>
          <w:t>RAN4 to discuss and agree whether the in-band blocking requirement should consider potential blocking from another operator ATG network.</w:t>
        </w:r>
      </w:hyperlink>
    </w:p>
    <w:p w14:paraId="1DBA6C63" w14:textId="1D013123" w:rsidR="00064FF8" w:rsidRDefault="00064FF8">
      <w:pPr>
        <w:pStyle w:val="TableofFigures"/>
        <w:tabs>
          <w:tab w:val="right" w:leader="dot" w:pos="9629"/>
        </w:tabs>
        <w:rPr>
          <w:rFonts w:asciiTheme="minorHAnsi" w:eastAsiaTheme="minorEastAsia" w:hAnsiTheme="minorHAnsi"/>
          <w:b w:val="0"/>
          <w:noProof/>
          <w:sz w:val="22"/>
          <w:lang w:val="en-SE" w:eastAsia="en-SE"/>
        </w:rPr>
      </w:pPr>
      <w:hyperlink w:anchor="_Toc127552145" w:history="1">
        <w:r w:rsidRPr="00345C10">
          <w:rPr>
            <w:rStyle w:val="Hyperlink"/>
            <w:noProof/>
            <w:lang w:val="en-GB"/>
          </w:rPr>
          <w:t>Proposal 5</w:t>
        </w:r>
        <w:r>
          <w:rPr>
            <w:rFonts w:asciiTheme="minorHAnsi" w:eastAsiaTheme="minorEastAsia" w:hAnsiTheme="minorHAnsi"/>
            <w:b w:val="0"/>
            <w:noProof/>
            <w:sz w:val="22"/>
            <w:lang w:val="en-SE" w:eastAsia="en-SE"/>
          </w:rPr>
          <w:tab/>
        </w:r>
        <w:r w:rsidRPr="00345C10">
          <w:rPr>
            <w:rStyle w:val="Hyperlink"/>
            <w:noProof/>
            <w:lang w:val="en-GB"/>
          </w:rPr>
          <w:t>Adjust the narrowband blocking requirement in the same proportion as any adjustment of the in-band blocking requirement.</w:t>
        </w:r>
      </w:hyperlink>
    </w:p>
    <w:p w14:paraId="13DCD34E" w14:textId="50C12B0D" w:rsidR="00064FF8" w:rsidRDefault="00064FF8">
      <w:pPr>
        <w:pStyle w:val="TableofFigures"/>
        <w:tabs>
          <w:tab w:val="right" w:leader="dot" w:pos="9629"/>
        </w:tabs>
        <w:rPr>
          <w:rFonts w:asciiTheme="minorHAnsi" w:eastAsiaTheme="minorEastAsia" w:hAnsiTheme="minorHAnsi"/>
          <w:b w:val="0"/>
          <w:noProof/>
          <w:sz w:val="22"/>
          <w:lang w:val="en-SE" w:eastAsia="en-SE"/>
        </w:rPr>
      </w:pPr>
      <w:hyperlink w:anchor="_Toc127552146" w:history="1">
        <w:r w:rsidRPr="00345C10">
          <w:rPr>
            <w:rStyle w:val="Hyperlink"/>
            <w:noProof/>
            <w:lang w:val="en-GB"/>
          </w:rPr>
          <w:t>Proposal 6</w:t>
        </w:r>
        <w:r>
          <w:rPr>
            <w:rFonts w:asciiTheme="minorHAnsi" w:eastAsiaTheme="minorEastAsia" w:hAnsiTheme="minorHAnsi"/>
            <w:b w:val="0"/>
            <w:noProof/>
            <w:sz w:val="22"/>
            <w:lang w:val="en-SE" w:eastAsia="en-SE"/>
          </w:rPr>
          <w:tab/>
        </w:r>
        <w:r w:rsidRPr="00345C10">
          <w:rPr>
            <w:rStyle w:val="Hyperlink"/>
            <w:noProof/>
            <w:lang w:val="en-GB"/>
          </w:rPr>
          <w:t>The RX intermodulation requirement should be considered after the maximum input level and blocking requirements are determined.</w:t>
        </w:r>
      </w:hyperlink>
    </w:p>
    <w:p w14:paraId="715CA09B" w14:textId="017DE3DF" w:rsidR="003A7EF3" w:rsidRPr="00CE0424" w:rsidRDefault="006E1C82" w:rsidP="00CE0424">
      <w:pPr>
        <w:pStyle w:val="BodyText"/>
      </w:pPr>
      <w:r>
        <w:rPr>
          <w:b/>
          <w:bCs/>
        </w:rPr>
        <w:fldChar w:fldCharType="end"/>
      </w:r>
      <w:r w:rsidRPr="00CE0424">
        <w:rPr>
          <w:b/>
          <w:bCs/>
        </w:rPr>
        <w:t xml:space="preserve"> </w:t>
      </w:r>
      <w:bookmarkStart w:id="9" w:name="_In-sequence_SDU_delivery"/>
      <w:bookmarkEnd w:id="9"/>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FEDDA" w14:textId="77777777" w:rsidR="00594DC6" w:rsidRDefault="00594DC6">
      <w:r>
        <w:separator/>
      </w:r>
    </w:p>
  </w:endnote>
  <w:endnote w:type="continuationSeparator" w:id="0">
    <w:p w14:paraId="47E457ED" w14:textId="77777777" w:rsidR="00594DC6" w:rsidRDefault="00594DC6">
      <w:r>
        <w:continuationSeparator/>
      </w:r>
    </w:p>
  </w:endnote>
  <w:endnote w:type="continuationNotice" w:id="1">
    <w:p w14:paraId="17DD6ED4" w14:textId="77777777" w:rsidR="00594DC6" w:rsidRDefault="00594D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EBD44" w14:textId="77777777" w:rsidR="00594DC6" w:rsidRDefault="00594DC6">
      <w:r>
        <w:separator/>
      </w:r>
    </w:p>
  </w:footnote>
  <w:footnote w:type="continuationSeparator" w:id="0">
    <w:p w14:paraId="242BA515" w14:textId="77777777" w:rsidR="00594DC6" w:rsidRDefault="00594DC6">
      <w:r>
        <w:continuationSeparator/>
      </w:r>
    </w:p>
  </w:footnote>
  <w:footnote w:type="continuationNotice" w:id="1">
    <w:p w14:paraId="056E905A" w14:textId="77777777" w:rsidR="00594DC6" w:rsidRDefault="00594D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1726660">
    <w:abstractNumId w:val="3"/>
  </w:num>
  <w:num w:numId="2" w16cid:durableId="1724600175">
    <w:abstractNumId w:val="15"/>
  </w:num>
  <w:num w:numId="3" w16cid:durableId="739329411">
    <w:abstractNumId w:val="11"/>
  </w:num>
  <w:num w:numId="4" w16cid:durableId="2113085460">
    <w:abstractNumId w:val="12"/>
  </w:num>
  <w:num w:numId="5" w16cid:durableId="1367096799">
    <w:abstractNumId w:val="8"/>
  </w:num>
  <w:num w:numId="6" w16cid:durableId="1749619726">
    <w:abstractNumId w:val="14"/>
  </w:num>
  <w:num w:numId="7" w16cid:durableId="1632439020">
    <w:abstractNumId w:val="18"/>
  </w:num>
  <w:num w:numId="8" w16cid:durableId="375855419">
    <w:abstractNumId w:val="9"/>
  </w:num>
  <w:num w:numId="9" w16cid:durableId="2081321274">
    <w:abstractNumId w:val="7"/>
  </w:num>
  <w:num w:numId="10" w16cid:durableId="1593468179">
    <w:abstractNumId w:val="2"/>
  </w:num>
  <w:num w:numId="11" w16cid:durableId="2092919937">
    <w:abstractNumId w:val="1"/>
  </w:num>
  <w:num w:numId="12" w16cid:durableId="1662542165">
    <w:abstractNumId w:val="0"/>
  </w:num>
  <w:num w:numId="13" w16cid:durableId="147676963">
    <w:abstractNumId w:val="16"/>
  </w:num>
  <w:num w:numId="14" w16cid:durableId="364332044">
    <w:abstractNumId w:val="17"/>
  </w:num>
  <w:num w:numId="15" w16cid:durableId="321206135">
    <w:abstractNumId w:val="13"/>
  </w:num>
  <w:num w:numId="16" w16cid:durableId="143086157">
    <w:abstractNumId w:val="19"/>
  </w:num>
  <w:num w:numId="17" w16cid:durableId="41565602">
    <w:abstractNumId w:val="5"/>
  </w:num>
  <w:num w:numId="18" w16cid:durableId="107550920">
    <w:abstractNumId w:val="6"/>
  </w:num>
  <w:num w:numId="19" w16cid:durableId="703408659">
    <w:abstractNumId w:val="4"/>
  </w:num>
  <w:num w:numId="20" w16cid:durableId="1022508686">
    <w:abstractNumId w:val="21"/>
  </w:num>
  <w:num w:numId="21" w16cid:durableId="1806118027">
    <w:abstractNumId w:val="10"/>
  </w:num>
  <w:num w:numId="22" w16cid:durableId="5703167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24DA"/>
    <w:rsid w:val="0002564D"/>
    <w:rsid w:val="00025ECA"/>
    <w:rsid w:val="000325B8"/>
    <w:rsid w:val="000336EB"/>
    <w:rsid w:val="00034C15"/>
    <w:rsid w:val="00036BA1"/>
    <w:rsid w:val="000422E2"/>
    <w:rsid w:val="00042F22"/>
    <w:rsid w:val="00043763"/>
    <w:rsid w:val="000444EF"/>
    <w:rsid w:val="00045622"/>
    <w:rsid w:val="00047EC0"/>
    <w:rsid w:val="00052A07"/>
    <w:rsid w:val="000534E3"/>
    <w:rsid w:val="00055C59"/>
    <w:rsid w:val="00055E6D"/>
    <w:rsid w:val="0005606A"/>
    <w:rsid w:val="00057117"/>
    <w:rsid w:val="000616E7"/>
    <w:rsid w:val="0006487E"/>
    <w:rsid w:val="00064FF8"/>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DDE"/>
    <w:rsid w:val="000D4797"/>
    <w:rsid w:val="000E0527"/>
    <w:rsid w:val="000E1E92"/>
    <w:rsid w:val="000E24EA"/>
    <w:rsid w:val="000F06D6"/>
    <w:rsid w:val="000F0EB1"/>
    <w:rsid w:val="000F1106"/>
    <w:rsid w:val="000F3BE9"/>
    <w:rsid w:val="000F3F6C"/>
    <w:rsid w:val="000F417E"/>
    <w:rsid w:val="000F6DF3"/>
    <w:rsid w:val="001005FF"/>
    <w:rsid w:val="00102F95"/>
    <w:rsid w:val="00105E2B"/>
    <w:rsid w:val="001062FB"/>
    <w:rsid w:val="001063E6"/>
    <w:rsid w:val="00113CF4"/>
    <w:rsid w:val="001153EA"/>
    <w:rsid w:val="00115643"/>
    <w:rsid w:val="00116765"/>
    <w:rsid w:val="001219F5"/>
    <w:rsid w:val="00121A20"/>
    <w:rsid w:val="0012377F"/>
    <w:rsid w:val="00124030"/>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6113"/>
    <w:rsid w:val="00190AC1"/>
    <w:rsid w:val="0019341A"/>
    <w:rsid w:val="00197DF9"/>
    <w:rsid w:val="001A1987"/>
    <w:rsid w:val="001A2564"/>
    <w:rsid w:val="001A35EC"/>
    <w:rsid w:val="001A6173"/>
    <w:rsid w:val="001A6CBA"/>
    <w:rsid w:val="001B0D97"/>
    <w:rsid w:val="001B5A5D"/>
    <w:rsid w:val="001B6D64"/>
    <w:rsid w:val="001C1CE5"/>
    <w:rsid w:val="001C3D2A"/>
    <w:rsid w:val="001C4189"/>
    <w:rsid w:val="001D51BA"/>
    <w:rsid w:val="001D53E7"/>
    <w:rsid w:val="001D5D7C"/>
    <w:rsid w:val="001D6342"/>
    <w:rsid w:val="001D6D53"/>
    <w:rsid w:val="001E58E2"/>
    <w:rsid w:val="001E7AED"/>
    <w:rsid w:val="001F256A"/>
    <w:rsid w:val="001F3916"/>
    <w:rsid w:val="001F54C5"/>
    <w:rsid w:val="001F662C"/>
    <w:rsid w:val="001F7074"/>
    <w:rsid w:val="00200490"/>
    <w:rsid w:val="00201F3A"/>
    <w:rsid w:val="00203F96"/>
    <w:rsid w:val="002069B2"/>
    <w:rsid w:val="00207FA3"/>
    <w:rsid w:val="002109F9"/>
    <w:rsid w:val="00214DA8"/>
    <w:rsid w:val="00215423"/>
    <w:rsid w:val="002158FA"/>
    <w:rsid w:val="00216255"/>
    <w:rsid w:val="00220600"/>
    <w:rsid w:val="002224DB"/>
    <w:rsid w:val="00223FCB"/>
    <w:rsid w:val="002252C3"/>
    <w:rsid w:val="00225C54"/>
    <w:rsid w:val="00227AF2"/>
    <w:rsid w:val="00230765"/>
    <w:rsid w:val="00230D18"/>
    <w:rsid w:val="002319E4"/>
    <w:rsid w:val="00235632"/>
    <w:rsid w:val="00235872"/>
    <w:rsid w:val="00241559"/>
    <w:rsid w:val="002435B3"/>
    <w:rsid w:val="002458EB"/>
    <w:rsid w:val="002500C8"/>
    <w:rsid w:val="00251E34"/>
    <w:rsid w:val="00257543"/>
    <w:rsid w:val="002617E7"/>
    <w:rsid w:val="00264228"/>
    <w:rsid w:val="00264334"/>
    <w:rsid w:val="0026473E"/>
    <w:rsid w:val="00266214"/>
    <w:rsid w:val="00267C83"/>
    <w:rsid w:val="0027144F"/>
    <w:rsid w:val="00271813"/>
    <w:rsid w:val="00271F3A"/>
    <w:rsid w:val="00273278"/>
    <w:rsid w:val="00273528"/>
    <w:rsid w:val="002737F4"/>
    <w:rsid w:val="002805F5"/>
    <w:rsid w:val="00280751"/>
    <w:rsid w:val="0028280A"/>
    <w:rsid w:val="00286ACD"/>
    <w:rsid w:val="00287838"/>
    <w:rsid w:val="002907B5"/>
    <w:rsid w:val="00292EB7"/>
    <w:rsid w:val="00293639"/>
    <w:rsid w:val="00296227"/>
    <w:rsid w:val="00296F44"/>
    <w:rsid w:val="0029777D"/>
    <w:rsid w:val="002A055E"/>
    <w:rsid w:val="002A1D4E"/>
    <w:rsid w:val="002A2869"/>
    <w:rsid w:val="002A291B"/>
    <w:rsid w:val="002A5052"/>
    <w:rsid w:val="002A52F7"/>
    <w:rsid w:val="002A5416"/>
    <w:rsid w:val="002A578E"/>
    <w:rsid w:val="002B1953"/>
    <w:rsid w:val="002B24D6"/>
    <w:rsid w:val="002B2C98"/>
    <w:rsid w:val="002B6991"/>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1790"/>
    <w:rsid w:val="00322C9F"/>
    <w:rsid w:val="00324D23"/>
    <w:rsid w:val="00331751"/>
    <w:rsid w:val="00334579"/>
    <w:rsid w:val="00335858"/>
    <w:rsid w:val="00336BDA"/>
    <w:rsid w:val="00342BD7"/>
    <w:rsid w:val="00346629"/>
    <w:rsid w:val="00346DB5"/>
    <w:rsid w:val="003477B1"/>
    <w:rsid w:val="0035083E"/>
    <w:rsid w:val="00355C01"/>
    <w:rsid w:val="00357380"/>
    <w:rsid w:val="003602D9"/>
    <w:rsid w:val="003604CE"/>
    <w:rsid w:val="00370E47"/>
    <w:rsid w:val="003742AC"/>
    <w:rsid w:val="00377CE1"/>
    <w:rsid w:val="003820AC"/>
    <w:rsid w:val="00385BF0"/>
    <w:rsid w:val="003939FF"/>
    <w:rsid w:val="003A110E"/>
    <w:rsid w:val="003A2223"/>
    <w:rsid w:val="003A2A0F"/>
    <w:rsid w:val="003A45A1"/>
    <w:rsid w:val="003A4E4F"/>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14FA"/>
    <w:rsid w:val="003F2CD4"/>
    <w:rsid w:val="003F6BBE"/>
    <w:rsid w:val="004000E8"/>
    <w:rsid w:val="00402E2B"/>
    <w:rsid w:val="00405092"/>
    <w:rsid w:val="0040512B"/>
    <w:rsid w:val="00405CA5"/>
    <w:rsid w:val="00407CCA"/>
    <w:rsid w:val="00407CD3"/>
    <w:rsid w:val="00410134"/>
    <w:rsid w:val="00410B72"/>
    <w:rsid w:val="00410F18"/>
    <w:rsid w:val="0041263E"/>
    <w:rsid w:val="00413AAC"/>
    <w:rsid w:val="00413E92"/>
    <w:rsid w:val="00421105"/>
    <w:rsid w:val="00422AA4"/>
    <w:rsid w:val="004242F4"/>
    <w:rsid w:val="00427248"/>
    <w:rsid w:val="004350E3"/>
    <w:rsid w:val="00436DA3"/>
    <w:rsid w:val="00437447"/>
    <w:rsid w:val="00441A92"/>
    <w:rsid w:val="004431DC"/>
    <w:rsid w:val="00444F56"/>
    <w:rsid w:val="00446488"/>
    <w:rsid w:val="00447D80"/>
    <w:rsid w:val="004517AA"/>
    <w:rsid w:val="00452CAC"/>
    <w:rsid w:val="00457565"/>
    <w:rsid w:val="00457B71"/>
    <w:rsid w:val="004618D2"/>
    <w:rsid w:val="00464689"/>
    <w:rsid w:val="004669E2"/>
    <w:rsid w:val="00470C31"/>
    <w:rsid w:val="00471DE0"/>
    <w:rsid w:val="004734D0"/>
    <w:rsid w:val="0047556B"/>
    <w:rsid w:val="00477768"/>
    <w:rsid w:val="004867B1"/>
    <w:rsid w:val="00492BC5"/>
    <w:rsid w:val="004964F1"/>
    <w:rsid w:val="004A16BC"/>
    <w:rsid w:val="004A2B94"/>
    <w:rsid w:val="004A2C60"/>
    <w:rsid w:val="004B6F6A"/>
    <w:rsid w:val="004B7C0C"/>
    <w:rsid w:val="004C201D"/>
    <w:rsid w:val="004C3898"/>
    <w:rsid w:val="004D36B1"/>
    <w:rsid w:val="004D7EBD"/>
    <w:rsid w:val="004E2680"/>
    <w:rsid w:val="004E28F9"/>
    <w:rsid w:val="004E3C26"/>
    <w:rsid w:val="004E462E"/>
    <w:rsid w:val="004E56DC"/>
    <w:rsid w:val="004E76F4"/>
    <w:rsid w:val="004F0B4E"/>
    <w:rsid w:val="004F0B6C"/>
    <w:rsid w:val="004F2078"/>
    <w:rsid w:val="004F4DA3"/>
    <w:rsid w:val="00506557"/>
    <w:rsid w:val="0050677A"/>
    <w:rsid w:val="005108D8"/>
    <w:rsid w:val="005116F9"/>
    <w:rsid w:val="00512F9D"/>
    <w:rsid w:val="005153A7"/>
    <w:rsid w:val="00515B0A"/>
    <w:rsid w:val="005219CF"/>
    <w:rsid w:val="005252B0"/>
    <w:rsid w:val="00534B59"/>
    <w:rsid w:val="00536759"/>
    <w:rsid w:val="00537A15"/>
    <w:rsid w:val="00537C62"/>
    <w:rsid w:val="005444AF"/>
    <w:rsid w:val="005448C6"/>
    <w:rsid w:val="00546970"/>
    <w:rsid w:val="0055159B"/>
    <w:rsid w:val="00554D73"/>
    <w:rsid w:val="00554E19"/>
    <w:rsid w:val="0055515E"/>
    <w:rsid w:val="0056121F"/>
    <w:rsid w:val="00566E75"/>
    <w:rsid w:val="00572505"/>
    <w:rsid w:val="00582809"/>
    <w:rsid w:val="005837A2"/>
    <w:rsid w:val="005856D4"/>
    <w:rsid w:val="0058798C"/>
    <w:rsid w:val="005900FA"/>
    <w:rsid w:val="005935A4"/>
    <w:rsid w:val="005948C2"/>
    <w:rsid w:val="00594DC6"/>
    <w:rsid w:val="00595938"/>
    <w:rsid w:val="00595DCA"/>
    <w:rsid w:val="0059779B"/>
    <w:rsid w:val="005A209A"/>
    <w:rsid w:val="005A48FB"/>
    <w:rsid w:val="005A662D"/>
    <w:rsid w:val="005A7A79"/>
    <w:rsid w:val="005B1409"/>
    <w:rsid w:val="005B28DC"/>
    <w:rsid w:val="005B35D7"/>
    <w:rsid w:val="005B392A"/>
    <w:rsid w:val="005B3AA3"/>
    <w:rsid w:val="005B6F83"/>
    <w:rsid w:val="005C3A5A"/>
    <w:rsid w:val="005C74FB"/>
    <w:rsid w:val="005D1602"/>
    <w:rsid w:val="005D301B"/>
    <w:rsid w:val="005E385F"/>
    <w:rsid w:val="005E5B81"/>
    <w:rsid w:val="005F2CB1"/>
    <w:rsid w:val="005F3025"/>
    <w:rsid w:val="005F49EC"/>
    <w:rsid w:val="005F618C"/>
    <w:rsid w:val="005F70BD"/>
    <w:rsid w:val="006023B9"/>
    <w:rsid w:val="0060283C"/>
    <w:rsid w:val="00603C9A"/>
    <w:rsid w:val="00604F14"/>
    <w:rsid w:val="00606C35"/>
    <w:rsid w:val="00611B83"/>
    <w:rsid w:val="00613257"/>
    <w:rsid w:val="006136C9"/>
    <w:rsid w:val="00616B35"/>
    <w:rsid w:val="00620A71"/>
    <w:rsid w:val="00620D80"/>
    <w:rsid w:val="006234A6"/>
    <w:rsid w:val="0062412D"/>
    <w:rsid w:val="00624514"/>
    <w:rsid w:val="00630001"/>
    <w:rsid w:val="006311B3"/>
    <w:rsid w:val="0063284C"/>
    <w:rsid w:val="00636398"/>
    <w:rsid w:val="006368D3"/>
    <w:rsid w:val="006377EC"/>
    <w:rsid w:val="0064151F"/>
    <w:rsid w:val="00641533"/>
    <w:rsid w:val="0064208D"/>
    <w:rsid w:val="0064313F"/>
    <w:rsid w:val="00643475"/>
    <w:rsid w:val="0064396A"/>
    <w:rsid w:val="0064624E"/>
    <w:rsid w:val="00650637"/>
    <w:rsid w:val="00650AB9"/>
    <w:rsid w:val="00652714"/>
    <w:rsid w:val="00655733"/>
    <w:rsid w:val="00655ACD"/>
    <w:rsid w:val="00656A92"/>
    <w:rsid w:val="00656DDE"/>
    <w:rsid w:val="0066011D"/>
    <w:rsid w:val="006607C0"/>
    <w:rsid w:val="006613A6"/>
    <w:rsid w:val="006627A2"/>
    <w:rsid w:val="006634E6"/>
    <w:rsid w:val="006655EE"/>
    <w:rsid w:val="00667EE7"/>
    <w:rsid w:val="00670922"/>
    <w:rsid w:val="00670BE1"/>
    <w:rsid w:val="00670EF7"/>
    <w:rsid w:val="0067218F"/>
    <w:rsid w:val="006741F2"/>
    <w:rsid w:val="00674CC3"/>
    <w:rsid w:val="00675C72"/>
    <w:rsid w:val="006771F9"/>
    <w:rsid w:val="006776D7"/>
    <w:rsid w:val="00681003"/>
    <w:rsid w:val="006817C9"/>
    <w:rsid w:val="00683ECE"/>
    <w:rsid w:val="006945FB"/>
    <w:rsid w:val="00695FC2"/>
    <w:rsid w:val="00696949"/>
    <w:rsid w:val="00697052"/>
    <w:rsid w:val="006A46FB"/>
    <w:rsid w:val="006A5E28"/>
    <w:rsid w:val="006A63C9"/>
    <w:rsid w:val="006A697B"/>
    <w:rsid w:val="006A7AFF"/>
    <w:rsid w:val="006B1816"/>
    <w:rsid w:val="006B2099"/>
    <w:rsid w:val="006B50CF"/>
    <w:rsid w:val="006C03B8"/>
    <w:rsid w:val="006C5B32"/>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3F5D"/>
    <w:rsid w:val="006F4142"/>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3C41"/>
    <w:rsid w:val="007571E1"/>
    <w:rsid w:val="007604B2"/>
    <w:rsid w:val="00765281"/>
    <w:rsid w:val="00766BAD"/>
    <w:rsid w:val="007729A2"/>
    <w:rsid w:val="007755F2"/>
    <w:rsid w:val="00776971"/>
    <w:rsid w:val="00780A80"/>
    <w:rsid w:val="0078177E"/>
    <w:rsid w:val="00782BA2"/>
    <w:rsid w:val="0078304C"/>
    <w:rsid w:val="00783673"/>
    <w:rsid w:val="00785490"/>
    <w:rsid w:val="007856D2"/>
    <w:rsid w:val="007925EA"/>
    <w:rsid w:val="00793CD8"/>
    <w:rsid w:val="00794552"/>
    <w:rsid w:val="00795C92"/>
    <w:rsid w:val="00796231"/>
    <w:rsid w:val="00797173"/>
    <w:rsid w:val="007A1CB3"/>
    <w:rsid w:val="007A306F"/>
    <w:rsid w:val="007A43A6"/>
    <w:rsid w:val="007A44B6"/>
    <w:rsid w:val="007A58A6"/>
    <w:rsid w:val="007A7079"/>
    <w:rsid w:val="007B23C8"/>
    <w:rsid w:val="007B3D2D"/>
    <w:rsid w:val="007B50AE"/>
    <w:rsid w:val="007B51DF"/>
    <w:rsid w:val="007C05DD"/>
    <w:rsid w:val="007C3D18"/>
    <w:rsid w:val="007C60BF"/>
    <w:rsid w:val="007C6A07"/>
    <w:rsid w:val="007C75A1"/>
    <w:rsid w:val="007C77A5"/>
    <w:rsid w:val="007D04E5"/>
    <w:rsid w:val="007D0E09"/>
    <w:rsid w:val="007D5901"/>
    <w:rsid w:val="007D7526"/>
    <w:rsid w:val="007E4610"/>
    <w:rsid w:val="007E4715"/>
    <w:rsid w:val="007E505B"/>
    <w:rsid w:val="007E7091"/>
    <w:rsid w:val="00803FAE"/>
    <w:rsid w:val="0080605F"/>
    <w:rsid w:val="00807786"/>
    <w:rsid w:val="00811FCB"/>
    <w:rsid w:val="008158D6"/>
    <w:rsid w:val="00817196"/>
    <w:rsid w:val="00820256"/>
    <w:rsid w:val="008235DB"/>
    <w:rsid w:val="00824AB4"/>
    <w:rsid w:val="00824B6D"/>
    <w:rsid w:val="00825C42"/>
    <w:rsid w:val="00825D25"/>
    <w:rsid w:val="00827D6F"/>
    <w:rsid w:val="008376AC"/>
    <w:rsid w:val="0084283E"/>
    <w:rsid w:val="008444E8"/>
    <w:rsid w:val="00844E80"/>
    <w:rsid w:val="00846FE7"/>
    <w:rsid w:val="00856911"/>
    <w:rsid w:val="008677FD"/>
    <w:rsid w:val="008706D4"/>
    <w:rsid w:val="00870F8A"/>
    <w:rsid w:val="008719A4"/>
    <w:rsid w:val="00871D23"/>
    <w:rsid w:val="0087258E"/>
    <w:rsid w:val="00874312"/>
    <w:rsid w:val="0087437C"/>
    <w:rsid w:val="00875CD7"/>
    <w:rsid w:val="00876B4D"/>
    <w:rsid w:val="00877F18"/>
    <w:rsid w:val="008845F6"/>
    <w:rsid w:val="00890E1C"/>
    <w:rsid w:val="008941E3"/>
    <w:rsid w:val="00894A88"/>
    <w:rsid w:val="00895386"/>
    <w:rsid w:val="00896630"/>
    <w:rsid w:val="008A21FF"/>
    <w:rsid w:val="008A2CE2"/>
    <w:rsid w:val="008A30AC"/>
    <w:rsid w:val="008A44B8"/>
    <w:rsid w:val="008A51A8"/>
    <w:rsid w:val="008A54C7"/>
    <w:rsid w:val="008A6FE3"/>
    <w:rsid w:val="008A77D8"/>
    <w:rsid w:val="008B0483"/>
    <w:rsid w:val="008B120C"/>
    <w:rsid w:val="008B2975"/>
    <w:rsid w:val="008B51A0"/>
    <w:rsid w:val="008B592A"/>
    <w:rsid w:val="008B7B5C"/>
    <w:rsid w:val="008C0C99"/>
    <w:rsid w:val="008C2017"/>
    <w:rsid w:val="008C4958"/>
    <w:rsid w:val="008C4BAA"/>
    <w:rsid w:val="008C6AE8"/>
    <w:rsid w:val="008C7573"/>
    <w:rsid w:val="008D00A5"/>
    <w:rsid w:val="008D34F1"/>
    <w:rsid w:val="008D39D8"/>
    <w:rsid w:val="008D5BC8"/>
    <w:rsid w:val="008D6D1A"/>
    <w:rsid w:val="008E065E"/>
    <w:rsid w:val="008E0927"/>
    <w:rsid w:val="008E1909"/>
    <w:rsid w:val="008F1C4E"/>
    <w:rsid w:val="008F1DE6"/>
    <w:rsid w:val="008F1EAB"/>
    <w:rsid w:val="008F33DC"/>
    <w:rsid w:val="008F477F"/>
    <w:rsid w:val="00902350"/>
    <w:rsid w:val="00902CAE"/>
    <w:rsid w:val="0090336B"/>
    <w:rsid w:val="009053AA"/>
    <w:rsid w:val="00906939"/>
    <w:rsid w:val="00910B7D"/>
    <w:rsid w:val="009114C2"/>
    <w:rsid w:val="00911DFB"/>
    <w:rsid w:val="009139D9"/>
    <w:rsid w:val="00914AD8"/>
    <w:rsid w:val="00916079"/>
    <w:rsid w:val="00917CE9"/>
    <w:rsid w:val="0092075B"/>
    <w:rsid w:val="00920BF2"/>
    <w:rsid w:val="0092140C"/>
    <w:rsid w:val="00922010"/>
    <w:rsid w:val="00931A57"/>
    <w:rsid w:val="00931BD9"/>
    <w:rsid w:val="009368F3"/>
    <w:rsid w:val="00941636"/>
    <w:rsid w:val="00943742"/>
    <w:rsid w:val="00945C05"/>
    <w:rsid w:val="009463C4"/>
    <w:rsid w:val="00946945"/>
    <w:rsid w:val="00947713"/>
    <w:rsid w:val="00950DE7"/>
    <w:rsid w:val="00953920"/>
    <w:rsid w:val="00953D47"/>
    <w:rsid w:val="0095681E"/>
    <w:rsid w:val="009572D4"/>
    <w:rsid w:val="00961921"/>
    <w:rsid w:val="0096430A"/>
    <w:rsid w:val="0096554B"/>
    <w:rsid w:val="0096584A"/>
    <w:rsid w:val="0097004E"/>
    <w:rsid w:val="00971F08"/>
    <w:rsid w:val="0097603D"/>
    <w:rsid w:val="00976949"/>
    <w:rsid w:val="00980477"/>
    <w:rsid w:val="00985253"/>
    <w:rsid w:val="009853B3"/>
    <w:rsid w:val="00986D87"/>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C89"/>
    <w:rsid w:val="009C403E"/>
    <w:rsid w:val="009D2402"/>
    <w:rsid w:val="009D4FF0"/>
    <w:rsid w:val="009D703C"/>
    <w:rsid w:val="009D718F"/>
    <w:rsid w:val="009E068F"/>
    <w:rsid w:val="009E13B2"/>
    <w:rsid w:val="009E14E0"/>
    <w:rsid w:val="009E25D8"/>
    <w:rsid w:val="009E35DB"/>
    <w:rsid w:val="009E47A3"/>
    <w:rsid w:val="009F08F3"/>
    <w:rsid w:val="009F344F"/>
    <w:rsid w:val="00A031D8"/>
    <w:rsid w:val="00A048A8"/>
    <w:rsid w:val="00A04F49"/>
    <w:rsid w:val="00A05534"/>
    <w:rsid w:val="00A05928"/>
    <w:rsid w:val="00A068E2"/>
    <w:rsid w:val="00A136F6"/>
    <w:rsid w:val="00A13E54"/>
    <w:rsid w:val="00A143F9"/>
    <w:rsid w:val="00A17F63"/>
    <w:rsid w:val="00A2193B"/>
    <w:rsid w:val="00A2351A"/>
    <w:rsid w:val="00A264A9"/>
    <w:rsid w:val="00A26DCF"/>
    <w:rsid w:val="00A2715C"/>
    <w:rsid w:val="00A27785"/>
    <w:rsid w:val="00A278CF"/>
    <w:rsid w:val="00A30187"/>
    <w:rsid w:val="00A3448A"/>
    <w:rsid w:val="00A36297"/>
    <w:rsid w:val="00A405FE"/>
    <w:rsid w:val="00A41E2B"/>
    <w:rsid w:val="00A425F6"/>
    <w:rsid w:val="00A43FE2"/>
    <w:rsid w:val="00A45B74"/>
    <w:rsid w:val="00A52E1D"/>
    <w:rsid w:val="00A61499"/>
    <w:rsid w:val="00A62A77"/>
    <w:rsid w:val="00A63483"/>
    <w:rsid w:val="00A657D7"/>
    <w:rsid w:val="00A660AC"/>
    <w:rsid w:val="00A67E6C"/>
    <w:rsid w:val="00A71B99"/>
    <w:rsid w:val="00A739D0"/>
    <w:rsid w:val="00A761D4"/>
    <w:rsid w:val="00A77EC4"/>
    <w:rsid w:val="00A90EC1"/>
    <w:rsid w:val="00A92879"/>
    <w:rsid w:val="00A9442A"/>
    <w:rsid w:val="00AA016F"/>
    <w:rsid w:val="00AA1ED6"/>
    <w:rsid w:val="00AA51D6"/>
    <w:rsid w:val="00AB0BC8"/>
    <w:rsid w:val="00AB11CA"/>
    <w:rsid w:val="00AB14D9"/>
    <w:rsid w:val="00AB4AB8"/>
    <w:rsid w:val="00AB655E"/>
    <w:rsid w:val="00AC007F"/>
    <w:rsid w:val="00AC039E"/>
    <w:rsid w:val="00AC0916"/>
    <w:rsid w:val="00AC10E8"/>
    <w:rsid w:val="00AC2ECD"/>
    <w:rsid w:val="00AC3119"/>
    <w:rsid w:val="00AC49FB"/>
    <w:rsid w:val="00AC5A10"/>
    <w:rsid w:val="00AD0AA3"/>
    <w:rsid w:val="00AD2ED0"/>
    <w:rsid w:val="00AD3F94"/>
    <w:rsid w:val="00AD4A5A"/>
    <w:rsid w:val="00AD6508"/>
    <w:rsid w:val="00AE27AC"/>
    <w:rsid w:val="00AE3D4E"/>
    <w:rsid w:val="00AE40E0"/>
    <w:rsid w:val="00AE4DBA"/>
    <w:rsid w:val="00AE4F07"/>
    <w:rsid w:val="00AF1C5D"/>
    <w:rsid w:val="00AF2169"/>
    <w:rsid w:val="00AF42D7"/>
    <w:rsid w:val="00B006FE"/>
    <w:rsid w:val="00B007CB"/>
    <w:rsid w:val="00B02AA9"/>
    <w:rsid w:val="00B02FA3"/>
    <w:rsid w:val="00B05084"/>
    <w:rsid w:val="00B157F9"/>
    <w:rsid w:val="00B17728"/>
    <w:rsid w:val="00B20256"/>
    <w:rsid w:val="00B20D09"/>
    <w:rsid w:val="00B2757F"/>
    <w:rsid w:val="00B2763F"/>
    <w:rsid w:val="00B27AAC"/>
    <w:rsid w:val="00B30929"/>
    <w:rsid w:val="00B372AA"/>
    <w:rsid w:val="00B40445"/>
    <w:rsid w:val="00B409E0"/>
    <w:rsid w:val="00B41888"/>
    <w:rsid w:val="00B4293D"/>
    <w:rsid w:val="00B45A52"/>
    <w:rsid w:val="00B46175"/>
    <w:rsid w:val="00B548B7"/>
    <w:rsid w:val="00B664C7"/>
    <w:rsid w:val="00B713D8"/>
    <w:rsid w:val="00B739F6"/>
    <w:rsid w:val="00B81A6C"/>
    <w:rsid w:val="00B85DE5"/>
    <w:rsid w:val="00B90F73"/>
    <w:rsid w:val="00B93B59"/>
    <w:rsid w:val="00B9406A"/>
    <w:rsid w:val="00BA1610"/>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9B7"/>
    <w:rsid w:val="00BE7406"/>
    <w:rsid w:val="00BE7603"/>
    <w:rsid w:val="00BE7978"/>
    <w:rsid w:val="00BF2426"/>
    <w:rsid w:val="00BF3279"/>
    <w:rsid w:val="00BF70FC"/>
    <w:rsid w:val="00BF74C7"/>
    <w:rsid w:val="00C015F1"/>
    <w:rsid w:val="00C01F33"/>
    <w:rsid w:val="00C02CC6"/>
    <w:rsid w:val="00C040F7"/>
    <w:rsid w:val="00C044AB"/>
    <w:rsid w:val="00C05706"/>
    <w:rsid w:val="00C07377"/>
    <w:rsid w:val="00C10478"/>
    <w:rsid w:val="00C11C14"/>
    <w:rsid w:val="00C12107"/>
    <w:rsid w:val="00C14D4B"/>
    <w:rsid w:val="00C154BB"/>
    <w:rsid w:val="00C230AF"/>
    <w:rsid w:val="00C279B5"/>
    <w:rsid w:val="00C27C45"/>
    <w:rsid w:val="00C30730"/>
    <w:rsid w:val="00C31E75"/>
    <w:rsid w:val="00C339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2081"/>
    <w:rsid w:val="00C9027A"/>
    <w:rsid w:val="00C9068E"/>
    <w:rsid w:val="00C93814"/>
    <w:rsid w:val="00C93C4B"/>
    <w:rsid w:val="00C944AB"/>
    <w:rsid w:val="00C95B40"/>
    <w:rsid w:val="00CA1ED8"/>
    <w:rsid w:val="00CA3609"/>
    <w:rsid w:val="00CB1F63"/>
    <w:rsid w:val="00CB70CD"/>
    <w:rsid w:val="00CB7170"/>
    <w:rsid w:val="00CC040E"/>
    <w:rsid w:val="00CC111F"/>
    <w:rsid w:val="00CC2011"/>
    <w:rsid w:val="00CC3EA0"/>
    <w:rsid w:val="00CC7B45"/>
    <w:rsid w:val="00CD03FF"/>
    <w:rsid w:val="00CD1188"/>
    <w:rsid w:val="00CD2ED1"/>
    <w:rsid w:val="00CD337B"/>
    <w:rsid w:val="00CE0424"/>
    <w:rsid w:val="00CE7561"/>
    <w:rsid w:val="00CF1354"/>
    <w:rsid w:val="00CF1904"/>
    <w:rsid w:val="00CF1A79"/>
    <w:rsid w:val="00CF3B1F"/>
    <w:rsid w:val="00CF3BF6"/>
    <w:rsid w:val="00CF625B"/>
    <w:rsid w:val="00CF687E"/>
    <w:rsid w:val="00D0349B"/>
    <w:rsid w:val="00D10249"/>
    <w:rsid w:val="00D115C3"/>
    <w:rsid w:val="00D11897"/>
    <w:rsid w:val="00D13135"/>
    <w:rsid w:val="00D13E4E"/>
    <w:rsid w:val="00D239A7"/>
    <w:rsid w:val="00D23F47"/>
    <w:rsid w:val="00D274C7"/>
    <w:rsid w:val="00D339F1"/>
    <w:rsid w:val="00D36E71"/>
    <w:rsid w:val="00D37D87"/>
    <w:rsid w:val="00D40B33"/>
    <w:rsid w:val="00D4318F"/>
    <w:rsid w:val="00D438BF"/>
    <w:rsid w:val="00D440F8"/>
    <w:rsid w:val="00D474F3"/>
    <w:rsid w:val="00D546FF"/>
    <w:rsid w:val="00D54DA7"/>
    <w:rsid w:val="00D55AD5"/>
    <w:rsid w:val="00D576CA"/>
    <w:rsid w:val="00D61AF5"/>
    <w:rsid w:val="00D652B5"/>
    <w:rsid w:val="00D66155"/>
    <w:rsid w:val="00D708B0"/>
    <w:rsid w:val="00D77B1D"/>
    <w:rsid w:val="00D8021F"/>
    <w:rsid w:val="00D80383"/>
    <w:rsid w:val="00D823C6"/>
    <w:rsid w:val="00D8327F"/>
    <w:rsid w:val="00D8501A"/>
    <w:rsid w:val="00D86CA3"/>
    <w:rsid w:val="00D871CE"/>
    <w:rsid w:val="00D9196D"/>
    <w:rsid w:val="00D92982"/>
    <w:rsid w:val="00D92F6E"/>
    <w:rsid w:val="00DA305E"/>
    <w:rsid w:val="00DA5417"/>
    <w:rsid w:val="00DA56E8"/>
    <w:rsid w:val="00DA7134"/>
    <w:rsid w:val="00DB0A9F"/>
    <w:rsid w:val="00DB377D"/>
    <w:rsid w:val="00DC0266"/>
    <w:rsid w:val="00DC2D36"/>
    <w:rsid w:val="00DC53EF"/>
    <w:rsid w:val="00DC5B19"/>
    <w:rsid w:val="00DE5608"/>
    <w:rsid w:val="00DE58D0"/>
    <w:rsid w:val="00DE654F"/>
    <w:rsid w:val="00DF0B6E"/>
    <w:rsid w:val="00DF15E0"/>
    <w:rsid w:val="00DF1687"/>
    <w:rsid w:val="00DF37A0"/>
    <w:rsid w:val="00E0063C"/>
    <w:rsid w:val="00E04DC9"/>
    <w:rsid w:val="00E110E7"/>
    <w:rsid w:val="00E11B20"/>
    <w:rsid w:val="00E17FA2"/>
    <w:rsid w:val="00E22330"/>
    <w:rsid w:val="00E23576"/>
    <w:rsid w:val="00E30B5A"/>
    <w:rsid w:val="00E3123D"/>
    <w:rsid w:val="00E31461"/>
    <w:rsid w:val="00E31921"/>
    <w:rsid w:val="00E31D43"/>
    <w:rsid w:val="00E32608"/>
    <w:rsid w:val="00E34188"/>
    <w:rsid w:val="00E34B6E"/>
    <w:rsid w:val="00E35559"/>
    <w:rsid w:val="00E3723A"/>
    <w:rsid w:val="00E37860"/>
    <w:rsid w:val="00E446F1"/>
    <w:rsid w:val="00E46886"/>
    <w:rsid w:val="00E47AEF"/>
    <w:rsid w:val="00E50BB4"/>
    <w:rsid w:val="00E53B75"/>
    <w:rsid w:val="00E54E3B"/>
    <w:rsid w:val="00E57565"/>
    <w:rsid w:val="00E63838"/>
    <w:rsid w:val="00E64434"/>
    <w:rsid w:val="00E667E6"/>
    <w:rsid w:val="00E67C51"/>
    <w:rsid w:val="00E72EFC"/>
    <w:rsid w:val="00E758EC"/>
    <w:rsid w:val="00E8234C"/>
    <w:rsid w:val="00E826BC"/>
    <w:rsid w:val="00E83AA9"/>
    <w:rsid w:val="00E85928"/>
    <w:rsid w:val="00E87822"/>
    <w:rsid w:val="00E90395"/>
    <w:rsid w:val="00E90C66"/>
    <w:rsid w:val="00E90E49"/>
    <w:rsid w:val="00E917F9"/>
    <w:rsid w:val="00E9291C"/>
    <w:rsid w:val="00E93FFE"/>
    <w:rsid w:val="00E94F8A"/>
    <w:rsid w:val="00EA227E"/>
    <w:rsid w:val="00EA7A41"/>
    <w:rsid w:val="00EB077B"/>
    <w:rsid w:val="00EB4258"/>
    <w:rsid w:val="00EB4EA2"/>
    <w:rsid w:val="00EC24D5"/>
    <w:rsid w:val="00EC27C6"/>
    <w:rsid w:val="00EC4207"/>
    <w:rsid w:val="00EC5653"/>
    <w:rsid w:val="00EC71CE"/>
    <w:rsid w:val="00ED1006"/>
    <w:rsid w:val="00ED462A"/>
    <w:rsid w:val="00EF181D"/>
    <w:rsid w:val="00EF18FE"/>
    <w:rsid w:val="00EF5787"/>
    <w:rsid w:val="00EF60D0"/>
    <w:rsid w:val="00F0528D"/>
    <w:rsid w:val="00F06C67"/>
    <w:rsid w:val="00F06DFD"/>
    <w:rsid w:val="00F071D1"/>
    <w:rsid w:val="00F07533"/>
    <w:rsid w:val="00F10629"/>
    <w:rsid w:val="00F12276"/>
    <w:rsid w:val="00F15FA5"/>
    <w:rsid w:val="00F209B7"/>
    <w:rsid w:val="00F2376F"/>
    <w:rsid w:val="00F243D8"/>
    <w:rsid w:val="00F2567A"/>
    <w:rsid w:val="00F27B09"/>
    <w:rsid w:val="00F30828"/>
    <w:rsid w:val="00F313D6"/>
    <w:rsid w:val="00F333F0"/>
    <w:rsid w:val="00F40F0C"/>
    <w:rsid w:val="00F4766C"/>
    <w:rsid w:val="00F5060E"/>
    <w:rsid w:val="00F507D1"/>
    <w:rsid w:val="00F5146C"/>
    <w:rsid w:val="00F519CE"/>
    <w:rsid w:val="00F51ADA"/>
    <w:rsid w:val="00F520F4"/>
    <w:rsid w:val="00F55A66"/>
    <w:rsid w:val="00F60203"/>
    <w:rsid w:val="00F6058B"/>
    <w:rsid w:val="00F607C5"/>
    <w:rsid w:val="00F60DEA"/>
    <w:rsid w:val="00F6302A"/>
    <w:rsid w:val="00F637BC"/>
    <w:rsid w:val="00F63950"/>
    <w:rsid w:val="00F63A9B"/>
    <w:rsid w:val="00F64C2B"/>
    <w:rsid w:val="00F651BE"/>
    <w:rsid w:val="00F67F53"/>
    <w:rsid w:val="00F703BE"/>
    <w:rsid w:val="00F71F69"/>
    <w:rsid w:val="00F72B72"/>
    <w:rsid w:val="00F74BB9"/>
    <w:rsid w:val="00F75582"/>
    <w:rsid w:val="00F76EFA"/>
    <w:rsid w:val="00F804BE"/>
    <w:rsid w:val="00F817CE"/>
    <w:rsid w:val="00F8456C"/>
    <w:rsid w:val="00F84951"/>
    <w:rsid w:val="00F859D8"/>
    <w:rsid w:val="00F868F5"/>
    <w:rsid w:val="00F9056A"/>
    <w:rsid w:val="00F90F8D"/>
    <w:rsid w:val="00F92782"/>
    <w:rsid w:val="00F936FA"/>
    <w:rsid w:val="00F93AA9"/>
    <w:rsid w:val="00F96985"/>
    <w:rsid w:val="00F97838"/>
    <w:rsid w:val="00F97AA1"/>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CC9D29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405092"/>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1599</Words>
  <Characters>8489</Characters>
  <Application>Microsoft Office Word</Application>
  <DocSecurity>0</DocSecurity>
  <Lines>70</Lines>
  <Paragraphs>20</Paragraphs>
  <ScaleCrop>false</ScaleCrop>
  <Company>Ericsson</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151</cp:revision>
  <cp:lastPrinted>2008-01-31T16:09:00Z</cp:lastPrinted>
  <dcterms:created xsi:type="dcterms:W3CDTF">2020-08-14T06:21:00Z</dcterms:created>
  <dcterms:modified xsi:type="dcterms:W3CDTF">2023-02-17T17:49:00Z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